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94" w:rsidRPr="00FA7794" w:rsidRDefault="00FA7794" w:rsidP="00326918">
      <w:bookmarkStart w:id="0" w:name="_GoBack"/>
      <w:bookmarkEnd w:id="0"/>
    </w:p>
    <w:p w:rsidR="00C3671E" w:rsidRDefault="00C3671E" w:rsidP="00326918"/>
    <w:p w:rsidR="00326918" w:rsidRDefault="00326918" w:rsidP="00326918"/>
    <w:p w:rsidR="00C3671E" w:rsidRDefault="00DB757E" w:rsidP="00C3671E">
      <w:pPr>
        <w:pStyle w:val="Title"/>
        <w:jc w:val="center"/>
      </w:pPr>
      <w:r>
        <w:t xml:space="preserve">Final </w:t>
      </w:r>
      <w:r w:rsidR="00326918">
        <w:t>R</w:t>
      </w:r>
      <w:r w:rsidR="00C3671E">
        <w:t xml:space="preserve">eview </w:t>
      </w:r>
      <w:r w:rsidR="00326918">
        <w:t>R</w:t>
      </w:r>
      <w:r w:rsidR="00C3671E">
        <w:t>eport</w:t>
      </w:r>
    </w:p>
    <w:p w:rsidR="00C3671E" w:rsidRDefault="00C3671E" w:rsidP="00C3671E">
      <w:pPr>
        <w:pStyle w:val="Title"/>
        <w:jc w:val="center"/>
      </w:pPr>
    </w:p>
    <w:p w:rsidR="00C3671E" w:rsidRDefault="005C3836" w:rsidP="00C3671E">
      <w:pPr>
        <w:pStyle w:val="Title"/>
        <w:jc w:val="center"/>
      </w:pPr>
      <w:r>
        <w:t xml:space="preserve">2017 </w:t>
      </w:r>
      <w:r w:rsidR="00E237E2">
        <w:t>C</w:t>
      </w:r>
      <w:r w:rsidR="00C7208B">
        <w:t xml:space="preserve">omprehensive </w:t>
      </w:r>
      <w:r w:rsidR="00E237E2">
        <w:t>T</w:t>
      </w:r>
      <w:r>
        <w:t xml:space="preserve">echnical </w:t>
      </w:r>
      <w:r w:rsidR="00E237E2">
        <w:t>R</w:t>
      </w:r>
      <w:r w:rsidR="00C3671E">
        <w:t xml:space="preserve">eview of </w:t>
      </w:r>
      <w:r w:rsidR="001E31EC">
        <w:t xml:space="preserve">National Emission Inventories </w:t>
      </w:r>
    </w:p>
    <w:p w:rsidR="00C3671E" w:rsidRDefault="00C3671E" w:rsidP="00C3671E">
      <w:pPr>
        <w:pStyle w:val="Title"/>
        <w:jc w:val="center"/>
        <w:rPr>
          <w:sz w:val="40"/>
          <w:szCs w:val="40"/>
        </w:rPr>
      </w:pPr>
      <w:r>
        <w:rPr>
          <w:sz w:val="40"/>
          <w:szCs w:val="40"/>
        </w:rPr>
        <w:t>pursuant</w:t>
      </w:r>
      <w:r w:rsidRPr="00C3671E">
        <w:rPr>
          <w:sz w:val="40"/>
          <w:szCs w:val="40"/>
        </w:rPr>
        <w:t xml:space="preserve"> to</w:t>
      </w:r>
      <w:r w:rsidR="002A43A2">
        <w:rPr>
          <w:sz w:val="40"/>
          <w:szCs w:val="40"/>
        </w:rPr>
        <w:t xml:space="preserve"> </w:t>
      </w:r>
      <w:r w:rsidR="00C7208B">
        <w:rPr>
          <w:sz w:val="40"/>
          <w:szCs w:val="40"/>
        </w:rPr>
        <w:t>t</w:t>
      </w:r>
      <w:r w:rsidR="00C7208B" w:rsidRPr="00C7208B">
        <w:rPr>
          <w:sz w:val="40"/>
          <w:szCs w:val="40"/>
        </w:rPr>
        <w:t xml:space="preserve">he </w:t>
      </w:r>
      <w:r w:rsidR="00B35F53" w:rsidRPr="00FC1F36">
        <w:rPr>
          <w:sz w:val="40"/>
          <w:szCs w:val="40"/>
        </w:rPr>
        <w:t>Directive on the Reduction of National Emissions of Certain Atmospheric Pollutants (Directive (EU) 2016/2284)</w:t>
      </w:r>
    </w:p>
    <w:p w:rsidR="00E237E2" w:rsidRDefault="00E237E2" w:rsidP="00E237E2"/>
    <w:p w:rsidR="00E237E2" w:rsidRDefault="00E237E2" w:rsidP="00E237E2"/>
    <w:p w:rsidR="00E237E2" w:rsidRDefault="00E237E2" w:rsidP="00E237E2"/>
    <w:p w:rsidR="00E237E2" w:rsidRPr="00E237E2" w:rsidRDefault="00E237E2" w:rsidP="00E237E2"/>
    <w:p w:rsidR="00C3671E" w:rsidRPr="00360DBC" w:rsidRDefault="001D176A" w:rsidP="00D054C8">
      <w:pPr>
        <w:pStyle w:val="Title"/>
        <w:jc w:val="center"/>
        <w:rPr>
          <w:b/>
        </w:rPr>
      </w:pPr>
      <w:r>
        <w:t>Austria</w:t>
      </w:r>
      <w:r w:rsidR="005969F8" w:rsidRPr="00360DBC">
        <w:rPr>
          <w:b/>
        </w:rPr>
        <w:t xml:space="preserve"> </w:t>
      </w:r>
    </w:p>
    <w:p w:rsidR="00C3671E" w:rsidRPr="00360DBC" w:rsidRDefault="00C3671E" w:rsidP="00C3671E">
      <w:pPr>
        <w:pStyle w:val="Title"/>
        <w:jc w:val="center"/>
      </w:pPr>
    </w:p>
    <w:p w:rsidR="00FB63F6" w:rsidRPr="00360DBC" w:rsidRDefault="00FB63F6" w:rsidP="00FB63F6"/>
    <w:p w:rsidR="00C3671E" w:rsidRPr="00FB63F6" w:rsidRDefault="00DB757E" w:rsidP="00765FDB">
      <w:pPr>
        <w:pStyle w:val="Title"/>
        <w:jc w:val="center"/>
        <w:rPr>
          <w:rFonts w:asciiTheme="minorHAnsi" w:eastAsiaTheme="minorHAnsi" w:hAnsiTheme="minorHAnsi" w:cstheme="minorBidi"/>
          <w:spacing w:val="0"/>
          <w:kern w:val="0"/>
          <w:sz w:val="40"/>
          <w:szCs w:val="40"/>
        </w:rPr>
      </w:pPr>
      <w:r>
        <w:rPr>
          <w:sz w:val="40"/>
          <w:szCs w:val="40"/>
        </w:rPr>
        <w:t>3</w:t>
      </w:r>
      <w:r w:rsidR="001D176A" w:rsidRPr="001D176A">
        <w:rPr>
          <w:sz w:val="40"/>
          <w:szCs w:val="40"/>
        </w:rPr>
        <w:t xml:space="preserve">0 </w:t>
      </w:r>
      <w:r>
        <w:rPr>
          <w:sz w:val="40"/>
          <w:szCs w:val="40"/>
        </w:rPr>
        <w:t>November</w:t>
      </w:r>
      <w:r w:rsidRPr="001D176A">
        <w:rPr>
          <w:sz w:val="40"/>
          <w:szCs w:val="40"/>
        </w:rPr>
        <w:t xml:space="preserve"> </w:t>
      </w:r>
      <w:r w:rsidR="001D176A" w:rsidRPr="001D176A">
        <w:rPr>
          <w:sz w:val="40"/>
          <w:szCs w:val="40"/>
        </w:rPr>
        <w:t>2017</w:t>
      </w:r>
    </w:p>
    <w:p w:rsidR="00C3671E" w:rsidRPr="00FA7794" w:rsidRDefault="00C3671E" w:rsidP="00C3671E">
      <w:pPr>
        <w:pStyle w:val="Title"/>
        <w:jc w:val="center"/>
      </w:pPr>
    </w:p>
    <w:p w:rsidR="00E257A4" w:rsidRPr="00FA7794" w:rsidRDefault="00E257A4" w:rsidP="00E257A4"/>
    <w:p w:rsidR="008D295A" w:rsidRPr="00FA7794" w:rsidRDefault="008D295A" w:rsidP="00E257A4">
      <w:bookmarkStart w:id="1" w:name="_Toc225486640"/>
    </w:p>
    <w:p w:rsidR="00E257A4" w:rsidRPr="00FA7794" w:rsidRDefault="00E257A4" w:rsidP="00E257A4"/>
    <w:p w:rsidR="001736D9" w:rsidRPr="001736D9" w:rsidRDefault="00510C6A" w:rsidP="001736D9">
      <w:pPr>
        <w:tabs>
          <w:tab w:val="left" w:pos="2316"/>
          <w:tab w:val="right" w:pos="9026"/>
        </w:tabs>
        <w:rPr>
          <w:b/>
          <w:bCs/>
          <w:lang w:eastAsia="fr-BE"/>
        </w:rPr>
      </w:pPr>
      <w:r w:rsidRPr="00FA7794">
        <w:rPr>
          <w:b/>
          <w:bCs/>
          <w:lang w:eastAsia="fr-BE"/>
        </w:rPr>
        <w:tab/>
      </w:r>
      <w:r w:rsidRPr="00FA7794">
        <w:rPr>
          <w:b/>
          <w:bCs/>
          <w:lang w:eastAsia="fr-BE"/>
        </w:rPr>
        <w:tab/>
      </w:r>
      <w:r w:rsidRPr="000D2AD9">
        <w:rPr>
          <w:b/>
          <w:bCs/>
          <w:lang w:eastAsia="fr-BE"/>
        </w:rPr>
        <w:t>Reference:</w:t>
      </w:r>
      <w:bookmarkEnd w:id="1"/>
      <w:r w:rsidRPr="000D2AD9">
        <w:rPr>
          <w:b/>
          <w:bCs/>
          <w:lang w:eastAsia="fr-BE"/>
        </w:rPr>
        <w:t xml:space="preserve"> </w:t>
      </w:r>
      <w:r w:rsidR="001736D9" w:rsidRPr="001736D9">
        <w:rPr>
          <w:b/>
          <w:bCs/>
          <w:lang w:eastAsia="fr-BE"/>
        </w:rPr>
        <w:t xml:space="preserve">No 07.0201/2016/741511/SER/ENV.C.3 </w:t>
      </w:r>
    </w:p>
    <w:p w:rsidR="00E257A4" w:rsidRPr="000D2AD9" w:rsidRDefault="00E257A4" w:rsidP="00102BA0">
      <w:pPr>
        <w:tabs>
          <w:tab w:val="left" w:pos="2316"/>
          <w:tab w:val="right" w:pos="9026"/>
        </w:tabs>
        <w:rPr>
          <w:b/>
          <w:lang w:eastAsia="fr-BE"/>
        </w:rPr>
      </w:pPr>
    </w:p>
    <w:p w:rsidR="008D295A" w:rsidRDefault="00E257A4" w:rsidP="008D295A">
      <w:pPr>
        <w:ind w:left="6480"/>
        <w:jc w:val="right"/>
        <w:rPr>
          <w:lang w:val="de-DE" w:eastAsia="fr-BE"/>
        </w:rPr>
      </w:pPr>
      <w:r w:rsidRPr="00B9721E">
        <w:rPr>
          <w:b/>
          <w:bCs/>
          <w:lang w:val="de-DE" w:eastAsia="fr-BE"/>
        </w:rPr>
        <w:t>Umweltbundesamt GmbH</w:t>
      </w:r>
      <w:r w:rsidRPr="00B9721E">
        <w:rPr>
          <w:lang w:val="de-DE" w:eastAsia="fr-BE"/>
        </w:rPr>
        <w:br/>
        <w:t>Spittelauer Lände 5</w:t>
      </w:r>
      <w:r w:rsidRPr="002A43A2">
        <w:rPr>
          <w:highlight w:val="yellow"/>
          <w:lang w:val="de-DE" w:eastAsia="fr-BE"/>
        </w:rPr>
        <w:br/>
      </w:r>
      <w:r w:rsidRPr="00B9721E">
        <w:rPr>
          <w:lang w:val="de-DE" w:eastAsia="fr-BE"/>
        </w:rPr>
        <w:t>1090 Vienna</w:t>
      </w:r>
      <w:r w:rsidR="00FB63F6">
        <w:rPr>
          <w:lang w:val="de-DE" w:eastAsia="fr-BE"/>
        </w:rPr>
        <w:br/>
      </w:r>
      <w:r w:rsidR="008D295A">
        <w:rPr>
          <w:lang w:val="de-DE" w:eastAsia="fr-BE"/>
        </w:rPr>
        <w:t>A</w:t>
      </w:r>
      <w:r w:rsidR="004C79F2" w:rsidRPr="004C79F2">
        <w:rPr>
          <w:lang w:val="de-DE" w:eastAsia="fr-BE"/>
        </w:rPr>
        <w:t>ustria</w:t>
      </w:r>
    </w:p>
    <w:sdt>
      <w:sdtPr>
        <w:rPr>
          <w:b/>
          <w:bCs/>
        </w:rPr>
        <w:id w:val="2106001895"/>
        <w:docPartObj>
          <w:docPartGallery w:val="Table of Contents"/>
          <w:docPartUnique/>
        </w:docPartObj>
      </w:sdtPr>
      <w:sdtEndPr>
        <w:rPr>
          <w:b w:val="0"/>
          <w:bCs w:val="0"/>
          <w:noProof/>
        </w:rPr>
      </w:sdtEndPr>
      <w:sdtContent>
        <w:p w:rsidR="00C3671E" w:rsidRPr="00C3671E" w:rsidRDefault="00C3671E" w:rsidP="00C3671E">
          <w:pPr>
            <w:rPr>
              <w:lang w:val="en-US"/>
            </w:rPr>
          </w:pPr>
          <w:r w:rsidRPr="00B34B14">
            <w:rPr>
              <w:color w:val="2E74B5" w:themeColor="accent1" w:themeShade="BF"/>
              <w:sz w:val="32"/>
              <w:szCs w:val="32"/>
            </w:rPr>
            <w:t>Contents</w:t>
          </w:r>
        </w:p>
        <w:p w:rsidR="009A5EF6" w:rsidRDefault="00AE4156">
          <w:pPr>
            <w:pStyle w:val="TOC1"/>
            <w:tabs>
              <w:tab w:val="right" w:leader="dot" w:pos="9182"/>
            </w:tabs>
            <w:rPr>
              <w:rFonts w:eastAsiaTheme="minorEastAsia"/>
              <w:noProof/>
              <w:lang w:eastAsia="en-GB"/>
            </w:rPr>
          </w:pPr>
          <w:r>
            <w:fldChar w:fldCharType="begin"/>
          </w:r>
          <w:r w:rsidR="00C3671E">
            <w:instrText xml:space="preserve"> TOC \o "1-3" \h \z \u </w:instrText>
          </w:r>
          <w:r>
            <w:fldChar w:fldCharType="separate"/>
          </w:r>
          <w:hyperlink w:anchor="_Toc499631260" w:history="1">
            <w:r w:rsidR="009A5EF6" w:rsidRPr="00927C93">
              <w:rPr>
                <w:rStyle w:val="Hyperlink"/>
                <w:noProof/>
              </w:rPr>
              <w:t>I Introduction</w:t>
            </w:r>
            <w:r w:rsidR="009A5EF6">
              <w:rPr>
                <w:noProof/>
                <w:webHidden/>
              </w:rPr>
              <w:tab/>
            </w:r>
            <w:r w:rsidR="009A5EF6">
              <w:rPr>
                <w:noProof/>
                <w:webHidden/>
              </w:rPr>
              <w:fldChar w:fldCharType="begin"/>
            </w:r>
            <w:r w:rsidR="009A5EF6">
              <w:rPr>
                <w:noProof/>
                <w:webHidden/>
              </w:rPr>
              <w:instrText xml:space="preserve"> PAGEREF _Toc499631260 \h </w:instrText>
            </w:r>
            <w:r w:rsidR="009A5EF6">
              <w:rPr>
                <w:noProof/>
                <w:webHidden/>
              </w:rPr>
            </w:r>
            <w:r w:rsidR="009A5EF6">
              <w:rPr>
                <w:noProof/>
                <w:webHidden/>
              </w:rPr>
              <w:fldChar w:fldCharType="separate"/>
            </w:r>
            <w:r w:rsidR="009A5EF6">
              <w:rPr>
                <w:noProof/>
                <w:webHidden/>
              </w:rPr>
              <w:t>5</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61" w:history="1">
            <w:r w:rsidR="009A5EF6" w:rsidRPr="00927C93">
              <w:rPr>
                <w:rStyle w:val="Hyperlink"/>
                <w:noProof/>
              </w:rPr>
              <w:t>II Objectives of the review</w:t>
            </w:r>
            <w:r w:rsidR="009A5EF6">
              <w:rPr>
                <w:noProof/>
                <w:webHidden/>
              </w:rPr>
              <w:tab/>
            </w:r>
            <w:r w:rsidR="009A5EF6">
              <w:rPr>
                <w:noProof/>
                <w:webHidden/>
              </w:rPr>
              <w:fldChar w:fldCharType="begin"/>
            </w:r>
            <w:r w:rsidR="009A5EF6">
              <w:rPr>
                <w:noProof/>
                <w:webHidden/>
              </w:rPr>
              <w:instrText xml:space="preserve"> PAGEREF _Toc499631261 \h </w:instrText>
            </w:r>
            <w:r w:rsidR="009A5EF6">
              <w:rPr>
                <w:noProof/>
                <w:webHidden/>
              </w:rPr>
            </w:r>
            <w:r w:rsidR="009A5EF6">
              <w:rPr>
                <w:noProof/>
                <w:webHidden/>
              </w:rPr>
              <w:fldChar w:fldCharType="separate"/>
            </w:r>
            <w:r w:rsidR="009A5EF6">
              <w:rPr>
                <w:noProof/>
                <w:webHidden/>
              </w:rPr>
              <w:t>5</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62" w:history="1">
            <w:r w:rsidR="009A5EF6" w:rsidRPr="00927C93">
              <w:rPr>
                <w:rStyle w:val="Hyperlink"/>
                <w:noProof/>
              </w:rPr>
              <w:t>III Review approach, team and scope</w:t>
            </w:r>
            <w:r w:rsidR="009A5EF6">
              <w:rPr>
                <w:noProof/>
                <w:webHidden/>
              </w:rPr>
              <w:tab/>
            </w:r>
            <w:r w:rsidR="009A5EF6">
              <w:rPr>
                <w:noProof/>
                <w:webHidden/>
              </w:rPr>
              <w:fldChar w:fldCharType="begin"/>
            </w:r>
            <w:r w:rsidR="009A5EF6">
              <w:rPr>
                <w:noProof/>
                <w:webHidden/>
              </w:rPr>
              <w:instrText xml:space="preserve"> PAGEREF _Toc499631262 \h </w:instrText>
            </w:r>
            <w:r w:rsidR="009A5EF6">
              <w:rPr>
                <w:noProof/>
                <w:webHidden/>
              </w:rPr>
            </w:r>
            <w:r w:rsidR="009A5EF6">
              <w:rPr>
                <w:noProof/>
                <w:webHidden/>
              </w:rPr>
              <w:fldChar w:fldCharType="separate"/>
            </w:r>
            <w:r w:rsidR="009A5EF6">
              <w:rPr>
                <w:noProof/>
                <w:webHidden/>
              </w:rPr>
              <w:t>6</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63" w:history="1">
            <w:r w:rsidR="009A5EF6" w:rsidRPr="00927C93">
              <w:rPr>
                <w:rStyle w:val="Hyperlink"/>
                <w:noProof/>
              </w:rPr>
              <w:t>IV Findings and Conclusions from the Technical Expert Review Team (TERT)</w:t>
            </w:r>
            <w:r w:rsidR="009A5EF6">
              <w:rPr>
                <w:noProof/>
                <w:webHidden/>
              </w:rPr>
              <w:tab/>
            </w:r>
            <w:r w:rsidR="009A5EF6">
              <w:rPr>
                <w:noProof/>
                <w:webHidden/>
              </w:rPr>
              <w:fldChar w:fldCharType="begin"/>
            </w:r>
            <w:r w:rsidR="009A5EF6">
              <w:rPr>
                <w:noProof/>
                <w:webHidden/>
              </w:rPr>
              <w:instrText xml:space="preserve"> PAGEREF _Toc499631263 \h </w:instrText>
            </w:r>
            <w:r w:rsidR="009A5EF6">
              <w:rPr>
                <w:noProof/>
                <w:webHidden/>
              </w:rPr>
            </w:r>
            <w:r w:rsidR="009A5EF6">
              <w:rPr>
                <w:noProof/>
                <w:webHidden/>
              </w:rPr>
              <w:fldChar w:fldCharType="separate"/>
            </w:r>
            <w:r w:rsidR="009A5EF6">
              <w:rPr>
                <w:noProof/>
                <w:webHidden/>
              </w:rPr>
              <w:t>8</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64" w:history="1">
            <w:r w:rsidR="009A5EF6" w:rsidRPr="00927C93">
              <w:rPr>
                <w:rStyle w:val="Hyperlink"/>
                <w:noProof/>
              </w:rPr>
              <w:t>V National Totals (row 141 and 144) as reported and National Totals revised (row 141 and 144) by accounting for Revised Estimates and Technical Corrections</w:t>
            </w:r>
            <w:r w:rsidR="009A5EF6">
              <w:rPr>
                <w:noProof/>
                <w:webHidden/>
              </w:rPr>
              <w:tab/>
            </w:r>
            <w:r w:rsidR="009A5EF6">
              <w:rPr>
                <w:noProof/>
                <w:webHidden/>
              </w:rPr>
              <w:fldChar w:fldCharType="begin"/>
            </w:r>
            <w:r w:rsidR="009A5EF6">
              <w:rPr>
                <w:noProof/>
                <w:webHidden/>
              </w:rPr>
              <w:instrText xml:space="preserve"> PAGEREF _Toc499631264 \h </w:instrText>
            </w:r>
            <w:r w:rsidR="009A5EF6">
              <w:rPr>
                <w:noProof/>
                <w:webHidden/>
              </w:rPr>
            </w:r>
            <w:r w:rsidR="009A5EF6">
              <w:rPr>
                <w:noProof/>
                <w:webHidden/>
              </w:rPr>
              <w:fldChar w:fldCharType="separate"/>
            </w:r>
            <w:r w:rsidR="009A5EF6">
              <w:rPr>
                <w:noProof/>
                <w:webHidden/>
              </w:rPr>
              <w:t>9</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65" w:history="1">
            <w:r w:rsidR="009A5EF6" w:rsidRPr="00927C93">
              <w:rPr>
                <w:rStyle w:val="Hyperlink"/>
                <w:noProof/>
              </w:rPr>
              <w:t>VI Statement from Austria on the conclusions presented by the TERT</w:t>
            </w:r>
            <w:r w:rsidR="009A5EF6">
              <w:rPr>
                <w:noProof/>
                <w:webHidden/>
              </w:rPr>
              <w:tab/>
            </w:r>
            <w:r w:rsidR="009A5EF6">
              <w:rPr>
                <w:noProof/>
                <w:webHidden/>
              </w:rPr>
              <w:fldChar w:fldCharType="begin"/>
            </w:r>
            <w:r w:rsidR="009A5EF6">
              <w:rPr>
                <w:noProof/>
                <w:webHidden/>
              </w:rPr>
              <w:instrText xml:space="preserve"> PAGEREF _Toc499631265 \h </w:instrText>
            </w:r>
            <w:r w:rsidR="009A5EF6">
              <w:rPr>
                <w:noProof/>
                <w:webHidden/>
              </w:rPr>
            </w:r>
            <w:r w:rsidR="009A5EF6">
              <w:rPr>
                <w:noProof/>
                <w:webHidden/>
              </w:rPr>
              <w:fldChar w:fldCharType="separate"/>
            </w:r>
            <w:r w:rsidR="009A5EF6">
              <w:rPr>
                <w:noProof/>
                <w:webHidden/>
              </w:rPr>
              <w:t>11</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66" w:history="1">
            <w:r w:rsidR="009A5EF6" w:rsidRPr="00927C93">
              <w:rPr>
                <w:rStyle w:val="Hyperlink"/>
                <w:noProof/>
              </w:rPr>
              <w:t>VII Recommendations from the TERT</w:t>
            </w:r>
            <w:r w:rsidR="009A5EF6">
              <w:rPr>
                <w:noProof/>
                <w:webHidden/>
              </w:rPr>
              <w:tab/>
            </w:r>
            <w:r w:rsidR="009A5EF6">
              <w:rPr>
                <w:noProof/>
                <w:webHidden/>
              </w:rPr>
              <w:fldChar w:fldCharType="begin"/>
            </w:r>
            <w:r w:rsidR="009A5EF6">
              <w:rPr>
                <w:noProof/>
                <w:webHidden/>
              </w:rPr>
              <w:instrText xml:space="preserve"> PAGEREF _Toc499631266 \h </w:instrText>
            </w:r>
            <w:r w:rsidR="009A5EF6">
              <w:rPr>
                <w:noProof/>
                <w:webHidden/>
              </w:rPr>
            </w:r>
            <w:r w:rsidR="009A5EF6">
              <w:rPr>
                <w:noProof/>
                <w:webHidden/>
              </w:rPr>
              <w:fldChar w:fldCharType="separate"/>
            </w:r>
            <w:r w:rsidR="009A5EF6">
              <w:rPr>
                <w:noProof/>
                <w:webHidden/>
              </w:rPr>
              <w:t>12</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67" w:history="1">
            <w:r w:rsidR="009A5EF6" w:rsidRPr="00927C93">
              <w:rPr>
                <w:rStyle w:val="Hyperlink"/>
                <w:noProof/>
              </w:rPr>
              <w:t>VII (i) Recommendations including revised estimates and technical corrections</w:t>
            </w:r>
            <w:r w:rsidR="009A5EF6">
              <w:rPr>
                <w:noProof/>
                <w:webHidden/>
              </w:rPr>
              <w:tab/>
            </w:r>
            <w:r w:rsidR="009A5EF6">
              <w:rPr>
                <w:noProof/>
                <w:webHidden/>
              </w:rPr>
              <w:fldChar w:fldCharType="begin"/>
            </w:r>
            <w:r w:rsidR="009A5EF6">
              <w:rPr>
                <w:noProof/>
                <w:webHidden/>
              </w:rPr>
              <w:instrText xml:space="preserve"> PAGEREF _Toc499631267 \h </w:instrText>
            </w:r>
            <w:r w:rsidR="009A5EF6">
              <w:rPr>
                <w:noProof/>
                <w:webHidden/>
              </w:rPr>
            </w:r>
            <w:r w:rsidR="009A5EF6">
              <w:rPr>
                <w:noProof/>
                <w:webHidden/>
              </w:rPr>
              <w:fldChar w:fldCharType="separate"/>
            </w:r>
            <w:r w:rsidR="009A5EF6">
              <w:rPr>
                <w:noProof/>
                <w:webHidden/>
              </w:rPr>
              <w:t>12</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68" w:history="1">
            <w:r w:rsidR="009A5EF6" w:rsidRPr="00927C93">
              <w:rPr>
                <w:rStyle w:val="Hyperlink"/>
                <w:noProof/>
              </w:rPr>
              <w:t>VII (i) Recommendations considering the use of the 2013 EMEP/EEA Guidebook</w:t>
            </w:r>
            <w:r w:rsidR="009A5EF6">
              <w:rPr>
                <w:noProof/>
                <w:webHidden/>
              </w:rPr>
              <w:tab/>
            </w:r>
            <w:r w:rsidR="009A5EF6">
              <w:rPr>
                <w:noProof/>
                <w:webHidden/>
              </w:rPr>
              <w:fldChar w:fldCharType="begin"/>
            </w:r>
            <w:r w:rsidR="009A5EF6">
              <w:rPr>
                <w:noProof/>
                <w:webHidden/>
              </w:rPr>
              <w:instrText xml:space="preserve"> PAGEREF _Toc499631268 \h </w:instrText>
            </w:r>
            <w:r w:rsidR="009A5EF6">
              <w:rPr>
                <w:noProof/>
                <w:webHidden/>
              </w:rPr>
            </w:r>
            <w:r w:rsidR="009A5EF6">
              <w:rPr>
                <w:noProof/>
                <w:webHidden/>
              </w:rPr>
              <w:fldChar w:fldCharType="separate"/>
            </w:r>
            <w:r w:rsidR="009A5EF6">
              <w:rPr>
                <w:noProof/>
                <w:webHidden/>
              </w:rPr>
              <w:t>17</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69" w:history="1">
            <w:r w:rsidR="009A5EF6" w:rsidRPr="00927C93">
              <w:rPr>
                <w:rStyle w:val="Hyperlink"/>
                <w:noProof/>
              </w:rPr>
              <w:t>VII (ii) Cross-cutting recommendations</w:t>
            </w:r>
            <w:r w:rsidR="009A5EF6">
              <w:rPr>
                <w:noProof/>
                <w:webHidden/>
              </w:rPr>
              <w:tab/>
            </w:r>
            <w:r w:rsidR="009A5EF6">
              <w:rPr>
                <w:noProof/>
                <w:webHidden/>
              </w:rPr>
              <w:fldChar w:fldCharType="begin"/>
            </w:r>
            <w:r w:rsidR="009A5EF6">
              <w:rPr>
                <w:noProof/>
                <w:webHidden/>
              </w:rPr>
              <w:instrText xml:space="preserve"> PAGEREF _Toc499631269 \h </w:instrText>
            </w:r>
            <w:r w:rsidR="009A5EF6">
              <w:rPr>
                <w:noProof/>
                <w:webHidden/>
              </w:rPr>
            </w:r>
            <w:r w:rsidR="009A5EF6">
              <w:rPr>
                <w:noProof/>
                <w:webHidden/>
              </w:rPr>
              <w:fldChar w:fldCharType="separate"/>
            </w:r>
            <w:r w:rsidR="009A5EF6">
              <w:rPr>
                <w:noProof/>
                <w:webHidden/>
              </w:rPr>
              <w:t>20</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70" w:history="1">
            <w:r w:rsidR="009A5EF6" w:rsidRPr="00927C93">
              <w:rPr>
                <w:rStyle w:val="Hyperlink"/>
                <w:noProof/>
              </w:rPr>
              <w:t>Annex I: Revised Estimates provided by Austria</w:t>
            </w:r>
            <w:r w:rsidR="009A5EF6">
              <w:rPr>
                <w:noProof/>
                <w:webHidden/>
              </w:rPr>
              <w:tab/>
            </w:r>
            <w:r w:rsidR="009A5EF6">
              <w:rPr>
                <w:noProof/>
                <w:webHidden/>
              </w:rPr>
              <w:fldChar w:fldCharType="begin"/>
            </w:r>
            <w:r w:rsidR="009A5EF6">
              <w:rPr>
                <w:noProof/>
                <w:webHidden/>
              </w:rPr>
              <w:instrText xml:space="preserve"> PAGEREF _Toc499631270 \h </w:instrText>
            </w:r>
            <w:r w:rsidR="009A5EF6">
              <w:rPr>
                <w:noProof/>
                <w:webHidden/>
              </w:rPr>
            </w:r>
            <w:r w:rsidR="009A5EF6">
              <w:rPr>
                <w:noProof/>
                <w:webHidden/>
              </w:rPr>
              <w:fldChar w:fldCharType="separate"/>
            </w:r>
            <w:r w:rsidR="009A5EF6">
              <w:rPr>
                <w:noProof/>
                <w:webHidden/>
              </w:rPr>
              <w:t>21</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71" w:history="1">
            <w:r w:rsidR="009A5EF6" w:rsidRPr="00927C93">
              <w:rPr>
                <w:rStyle w:val="Hyperlink"/>
                <w:noProof/>
              </w:rPr>
              <w:t>Annex II: Review of the 2017 adjustment application of Austria TERT report for the EC</w:t>
            </w:r>
            <w:r w:rsidR="009A5EF6">
              <w:rPr>
                <w:noProof/>
                <w:webHidden/>
              </w:rPr>
              <w:tab/>
            </w:r>
            <w:r w:rsidR="009A5EF6">
              <w:rPr>
                <w:noProof/>
                <w:webHidden/>
              </w:rPr>
              <w:fldChar w:fldCharType="begin"/>
            </w:r>
            <w:r w:rsidR="009A5EF6">
              <w:rPr>
                <w:noProof/>
                <w:webHidden/>
              </w:rPr>
              <w:instrText xml:space="preserve"> PAGEREF _Toc499631271 \h </w:instrText>
            </w:r>
            <w:r w:rsidR="009A5EF6">
              <w:rPr>
                <w:noProof/>
                <w:webHidden/>
              </w:rPr>
            </w:r>
            <w:r w:rsidR="009A5EF6">
              <w:rPr>
                <w:noProof/>
                <w:webHidden/>
              </w:rPr>
              <w:fldChar w:fldCharType="separate"/>
            </w:r>
            <w:r w:rsidR="009A5EF6">
              <w:rPr>
                <w:noProof/>
                <w:webHidden/>
              </w:rPr>
              <w:t>24</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72" w:history="1">
            <w:r w:rsidR="009A5EF6" w:rsidRPr="00927C93">
              <w:rPr>
                <w:rStyle w:val="Hyperlink"/>
                <w:noProof/>
              </w:rPr>
              <w:t>A2.1 Introduction</w:t>
            </w:r>
            <w:r w:rsidR="009A5EF6">
              <w:rPr>
                <w:noProof/>
                <w:webHidden/>
              </w:rPr>
              <w:tab/>
            </w:r>
            <w:r w:rsidR="009A5EF6">
              <w:rPr>
                <w:noProof/>
                <w:webHidden/>
              </w:rPr>
              <w:fldChar w:fldCharType="begin"/>
            </w:r>
            <w:r w:rsidR="009A5EF6">
              <w:rPr>
                <w:noProof/>
                <w:webHidden/>
              </w:rPr>
              <w:instrText xml:space="preserve"> PAGEREF _Toc499631272 \h </w:instrText>
            </w:r>
            <w:r w:rsidR="009A5EF6">
              <w:rPr>
                <w:noProof/>
                <w:webHidden/>
              </w:rPr>
            </w:r>
            <w:r w:rsidR="009A5EF6">
              <w:rPr>
                <w:noProof/>
                <w:webHidden/>
              </w:rPr>
              <w:fldChar w:fldCharType="separate"/>
            </w:r>
            <w:r w:rsidR="009A5EF6">
              <w:rPr>
                <w:noProof/>
                <w:webHidden/>
              </w:rPr>
              <w:t>24</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73" w:history="1">
            <w:r w:rsidR="009A5EF6" w:rsidRPr="00927C93">
              <w:rPr>
                <w:rStyle w:val="Hyperlink"/>
                <w:noProof/>
              </w:rPr>
              <w:t>A2.1.1 Review of Submitted Adjustments</w:t>
            </w:r>
            <w:r w:rsidR="009A5EF6">
              <w:rPr>
                <w:noProof/>
                <w:webHidden/>
              </w:rPr>
              <w:tab/>
            </w:r>
            <w:r w:rsidR="009A5EF6">
              <w:rPr>
                <w:noProof/>
                <w:webHidden/>
              </w:rPr>
              <w:fldChar w:fldCharType="begin"/>
            </w:r>
            <w:r w:rsidR="009A5EF6">
              <w:rPr>
                <w:noProof/>
                <w:webHidden/>
              </w:rPr>
              <w:instrText xml:space="preserve"> PAGEREF _Toc499631273 \h </w:instrText>
            </w:r>
            <w:r w:rsidR="009A5EF6">
              <w:rPr>
                <w:noProof/>
                <w:webHidden/>
              </w:rPr>
            </w:r>
            <w:r w:rsidR="009A5EF6">
              <w:rPr>
                <w:noProof/>
                <w:webHidden/>
              </w:rPr>
              <w:fldChar w:fldCharType="separate"/>
            </w:r>
            <w:r w:rsidR="009A5EF6">
              <w:rPr>
                <w:noProof/>
                <w:webHidden/>
              </w:rPr>
              <w:t>26</w:t>
            </w:r>
            <w:r w:rsidR="009A5EF6">
              <w:rPr>
                <w:noProof/>
                <w:webHidden/>
              </w:rPr>
              <w:fldChar w:fldCharType="end"/>
            </w:r>
          </w:hyperlink>
        </w:p>
        <w:p w:rsidR="009A5EF6" w:rsidRDefault="00BC6C77">
          <w:pPr>
            <w:pStyle w:val="TOC3"/>
            <w:tabs>
              <w:tab w:val="right" w:leader="dot" w:pos="9182"/>
            </w:tabs>
            <w:rPr>
              <w:rFonts w:eastAsiaTheme="minorEastAsia"/>
              <w:noProof/>
              <w:lang w:eastAsia="en-GB"/>
            </w:rPr>
          </w:pPr>
          <w:hyperlink w:anchor="_Toc499631274" w:history="1">
            <w:r w:rsidR="009A5EF6" w:rsidRPr="00927C93">
              <w:rPr>
                <w:rStyle w:val="Hyperlink"/>
                <w:noProof/>
              </w:rPr>
              <w:t>A2.1.2 Assessment of Formal Criteria</w:t>
            </w:r>
            <w:r w:rsidR="009A5EF6">
              <w:rPr>
                <w:noProof/>
                <w:webHidden/>
              </w:rPr>
              <w:tab/>
            </w:r>
            <w:r w:rsidR="009A5EF6">
              <w:rPr>
                <w:noProof/>
                <w:webHidden/>
              </w:rPr>
              <w:fldChar w:fldCharType="begin"/>
            </w:r>
            <w:r w:rsidR="009A5EF6">
              <w:rPr>
                <w:noProof/>
                <w:webHidden/>
              </w:rPr>
              <w:instrText xml:space="preserve"> PAGEREF _Toc499631274 \h </w:instrText>
            </w:r>
            <w:r w:rsidR="009A5EF6">
              <w:rPr>
                <w:noProof/>
                <w:webHidden/>
              </w:rPr>
            </w:r>
            <w:r w:rsidR="009A5EF6">
              <w:rPr>
                <w:noProof/>
                <w:webHidden/>
              </w:rPr>
              <w:fldChar w:fldCharType="separate"/>
            </w:r>
            <w:r w:rsidR="009A5EF6">
              <w:rPr>
                <w:noProof/>
                <w:webHidden/>
              </w:rPr>
              <w:t>26</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75" w:history="1">
            <w:r w:rsidR="009A5EF6" w:rsidRPr="00927C93">
              <w:rPr>
                <w:rStyle w:val="Hyperlink"/>
                <w:noProof/>
                <w:lang w:val="en-US"/>
              </w:rPr>
              <w:t xml:space="preserve">A2.2 Road Transport, 1A3bi-iv </w:t>
            </w:r>
            <w:r w:rsidR="009A5EF6" w:rsidRPr="00927C93">
              <w:rPr>
                <w:rStyle w:val="Hyperlink"/>
                <w:noProof/>
              </w:rPr>
              <w:t>(NO</w:t>
            </w:r>
            <w:r w:rsidR="009A5EF6" w:rsidRPr="00927C93">
              <w:rPr>
                <w:rStyle w:val="Hyperlink"/>
                <w:noProof/>
                <w:vertAlign w:val="subscript"/>
              </w:rPr>
              <w:t>X</w:t>
            </w:r>
            <w:r w:rsidR="009A5EF6" w:rsidRPr="00927C93">
              <w:rPr>
                <w:rStyle w:val="Hyperlink"/>
                <w:noProof/>
              </w:rPr>
              <w:t>)</w:t>
            </w:r>
            <w:r w:rsidR="009A5EF6">
              <w:rPr>
                <w:noProof/>
                <w:webHidden/>
              </w:rPr>
              <w:tab/>
            </w:r>
            <w:r w:rsidR="009A5EF6">
              <w:rPr>
                <w:noProof/>
                <w:webHidden/>
              </w:rPr>
              <w:fldChar w:fldCharType="begin"/>
            </w:r>
            <w:r w:rsidR="009A5EF6">
              <w:rPr>
                <w:noProof/>
                <w:webHidden/>
              </w:rPr>
              <w:instrText xml:space="preserve"> PAGEREF _Toc499631275 \h </w:instrText>
            </w:r>
            <w:r w:rsidR="009A5EF6">
              <w:rPr>
                <w:noProof/>
                <w:webHidden/>
              </w:rPr>
            </w:r>
            <w:r w:rsidR="009A5EF6">
              <w:rPr>
                <w:noProof/>
                <w:webHidden/>
              </w:rPr>
              <w:fldChar w:fldCharType="separate"/>
            </w:r>
            <w:r w:rsidR="009A5EF6">
              <w:rPr>
                <w:noProof/>
                <w:webHidden/>
              </w:rPr>
              <w:t>27</w:t>
            </w:r>
            <w:r w:rsidR="009A5EF6">
              <w:rPr>
                <w:noProof/>
                <w:webHidden/>
              </w:rPr>
              <w:fldChar w:fldCharType="end"/>
            </w:r>
          </w:hyperlink>
        </w:p>
        <w:p w:rsidR="009A5EF6" w:rsidRDefault="00BC6C77">
          <w:pPr>
            <w:pStyle w:val="TOC3"/>
            <w:tabs>
              <w:tab w:val="right" w:leader="dot" w:pos="9182"/>
            </w:tabs>
            <w:rPr>
              <w:rFonts w:eastAsiaTheme="minorEastAsia"/>
              <w:noProof/>
              <w:lang w:eastAsia="en-GB"/>
            </w:rPr>
          </w:pPr>
          <w:hyperlink w:anchor="_Toc499631276" w:history="1">
            <w:r w:rsidR="009A5EF6" w:rsidRPr="00927C93">
              <w:rPr>
                <w:rStyle w:val="Hyperlink"/>
                <w:noProof/>
              </w:rPr>
              <w:t>A2.2.1 Assessment of Consistency with Requirements of the NECD (2016/2284) and Methodologies adopted by Parties to the LRTAP Convention, EB Decision 2012/3 as amended by EB Decision 2014/1, EB Decision 2012/3 as amended by EB Decision 2014/1</w:t>
            </w:r>
            <w:r w:rsidR="009A5EF6">
              <w:rPr>
                <w:noProof/>
                <w:webHidden/>
              </w:rPr>
              <w:tab/>
            </w:r>
            <w:r w:rsidR="009A5EF6">
              <w:rPr>
                <w:noProof/>
                <w:webHidden/>
              </w:rPr>
              <w:fldChar w:fldCharType="begin"/>
            </w:r>
            <w:r w:rsidR="009A5EF6">
              <w:rPr>
                <w:noProof/>
                <w:webHidden/>
              </w:rPr>
              <w:instrText xml:space="preserve"> PAGEREF _Toc499631276 \h </w:instrText>
            </w:r>
            <w:r w:rsidR="009A5EF6">
              <w:rPr>
                <w:noProof/>
                <w:webHidden/>
              </w:rPr>
            </w:r>
            <w:r w:rsidR="009A5EF6">
              <w:rPr>
                <w:noProof/>
                <w:webHidden/>
              </w:rPr>
              <w:fldChar w:fldCharType="separate"/>
            </w:r>
            <w:r w:rsidR="009A5EF6">
              <w:rPr>
                <w:noProof/>
                <w:webHidden/>
              </w:rPr>
              <w:t>27</w:t>
            </w:r>
            <w:r w:rsidR="009A5EF6">
              <w:rPr>
                <w:noProof/>
                <w:webHidden/>
              </w:rPr>
              <w:fldChar w:fldCharType="end"/>
            </w:r>
          </w:hyperlink>
        </w:p>
        <w:p w:rsidR="009A5EF6" w:rsidRDefault="00BC6C77">
          <w:pPr>
            <w:pStyle w:val="TOC3"/>
            <w:tabs>
              <w:tab w:val="right" w:leader="dot" w:pos="9182"/>
            </w:tabs>
            <w:rPr>
              <w:rFonts w:eastAsiaTheme="minorEastAsia"/>
              <w:noProof/>
              <w:lang w:eastAsia="en-GB"/>
            </w:rPr>
          </w:pPr>
          <w:hyperlink w:anchor="_Toc499631277" w:history="1">
            <w:r w:rsidR="009A5EF6" w:rsidRPr="00927C93">
              <w:rPr>
                <w:rStyle w:val="Hyperlink"/>
                <w:noProof/>
              </w:rPr>
              <w:t>A2.2.2 Assessment of the Quantification of the Impact of the Revision</w:t>
            </w:r>
            <w:r w:rsidR="009A5EF6">
              <w:rPr>
                <w:noProof/>
                <w:webHidden/>
              </w:rPr>
              <w:tab/>
            </w:r>
            <w:r w:rsidR="009A5EF6">
              <w:rPr>
                <w:noProof/>
                <w:webHidden/>
              </w:rPr>
              <w:fldChar w:fldCharType="begin"/>
            </w:r>
            <w:r w:rsidR="009A5EF6">
              <w:rPr>
                <w:noProof/>
                <w:webHidden/>
              </w:rPr>
              <w:instrText xml:space="preserve"> PAGEREF _Toc499631277 \h </w:instrText>
            </w:r>
            <w:r w:rsidR="009A5EF6">
              <w:rPr>
                <w:noProof/>
                <w:webHidden/>
              </w:rPr>
            </w:r>
            <w:r w:rsidR="009A5EF6">
              <w:rPr>
                <w:noProof/>
                <w:webHidden/>
              </w:rPr>
              <w:fldChar w:fldCharType="separate"/>
            </w:r>
            <w:r w:rsidR="009A5EF6">
              <w:rPr>
                <w:noProof/>
                <w:webHidden/>
              </w:rPr>
              <w:t>27</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78" w:history="1">
            <w:r w:rsidR="009A5EF6" w:rsidRPr="00927C93">
              <w:rPr>
                <w:rStyle w:val="Hyperlink"/>
                <w:noProof/>
              </w:rPr>
              <w:t>A2.3 Agriculture, 3Da2b Sewage sludge applied to soils, 3Da2c Other organic fertilisers applied to soils (NH</w:t>
            </w:r>
            <w:r w:rsidR="009A5EF6" w:rsidRPr="00927C93">
              <w:rPr>
                <w:rStyle w:val="Hyperlink"/>
                <w:noProof/>
                <w:vertAlign w:val="subscript"/>
              </w:rPr>
              <w:t>3</w:t>
            </w:r>
            <w:r w:rsidR="009A5EF6" w:rsidRPr="00927C93">
              <w:rPr>
                <w:rStyle w:val="Hyperlink"/>
                <w:noProof/>
              </w:rPr>
              <w:t>)</w:t>
            </w:r>
            <w:r w:rsidR="009A5EF6">
              <w:rPr>
                <w:noProof/>
                <w:webHidden/>
              </w:rPr>
              <w:tab/>
            </w:r>
            <w:r w:rsidR="009A5EF6">
              <w:rPr>
                <w:noProof/>
                <w:webHidden/>
              </w:rPr>
              <w:fldChar w:fldCharType="begin"/>
            </w:r>
            <w:r w:rsidR="009A5EF6">
              <w:rPr>
                <w:noProof/>
                <w:webHidden/>
              </w:rPr>
              <w:instrText xml:space="preserve"> PAGEREF _Toc499631278 \h </w:instrText>
            </w:r>
            <w:r w:rsidR="009A5EF6">
              <w:rPr>
                <w:noProof/>
                <w:webHidden/>
              </w:rPr>
            </w:r>
            <w:r w:rsidR="009A5EF6">
              <w:rPr>
                <w:noProof/>
                <w:webHidden/>
              </w:rPr>
              <w:fldChar w:fldCharType="separate"/>
            </w:r>
            <w:r w:rsidR="009A5EF6">
              <w:rPr>
                <w:noProof/>
                <w:webHidden/>
              </w:rPr>
              <w:t>27</w:t>
            </w:r>
            <w:r w:rsidR="009A5EF6">
              <w:rPr>
                <w:noProof/>
                <w:webHidden/>
              </w:rPr>
              <w:fldChar w:fldCharType="end"/>
            </w:r>
          </w:hyperlink>
        </w:p>
        <w:p w:rsidR="009A5EF6" w:rsidRDefault="00BC6C77">
          <w:pPr>
            <w:pStyle w:val="TOC3"/>
            <w:tabs>
              <w:tab w:val="right" w:leader="dot" w:pos="9182"/>
            </w:tabs>
            <w:rPr>
              <w:rFonts w:eastAsiaTheme="minorEastAsia"/>
              <w:noProof/>
              <w:lang w:eastAsia="en-GB"/>
            </w:rPr>
          </w:pPr>
          <w:hyperlink w:anchor="_Toc499631279" w:history="1">
            <w:r w:rsidR="009A5EF6" w:rsidRPr="00927C93">
              <w:rPr>
                <w:rStyle w:val="Hyperlink"/>
                <w:noProof/>
              </w:rPr>
              <w:t>A2.3.1 Assessment of Consistency with Requirements of the NECD (2016/2284) and Methodologies adopted by Parties to the LRTAP Convention, EB Decision 2012/3 as amended by EB Decision 2014/1, EB Decision 2012/3 as amended by EB Decision 2014/1</w:t>
            </w:r>
            <w:r w:rsidR="009A5EF6">
              <w:rPr>
                <w:noProof/>
                <w:webHidden/>
              </w:rPr>
              <w:tab/>
            </w:r>
            <w:r w:rsidR="009A5EF6">
              <w:rPr>
                <w:noProof/>
                <w:webHidden/>
              </w:rPr>
              <w:fldChar w:fldCharType="begin"/>
            </w:r>
            <w:r w:rsidR="009A5EF6">
              <w:rPr>
                <w:noProof/>
                <w:webHidden/>
              </w:rPr>
              <w:instrText xml:space="preserve"> PAGEREF _Toc499631279 \h </w:instrText>
            </w:r>
            <w:r w:rsidR="009A5EF6">
              <w:rPr>
                <w:noProof/>
                <w:webHidden/>
              </w:rPr>
            </w:r>
            <w:r w:rsidR="009A5EF6">
              <w:rPr>
                <w:noProof/>
                <w:webHidden/>
              </w:rPr>
              <w:fldChar w:fldCharType="separate"/>
            </w:r>
            <w:r w:rsidR="009A5EF6">
              <w:rPr>
                <w:noProof/>
                <w:webHidden/>
              </w:rPr>
              <w:t>27</w:t>
            </w:r>
            <w:r w:rsidR="009A5EF6">
              <w:rPr>
                <w:noProof/>
                <w:webHidden/>
              </w:rPr>
              <w:fldChar w:fldCharType="end"/>
            </w:r>
          </w:hyperlink>
        </w:p>
        <w:p w:rsidR="009A5EF6" w:rsidRDefault="00BC6C77">
          <w:pPr>
            <w:pStyle w:val="TOC3"/>
            <w:tabs>
              <w:tab w:val="right" w:leader="dot" w:pos="9182"/>
            </w:tabs>
            <w:rPr>
              <w:rFonts w:eastAsiaTheme="minorEastAsia"/>
              <w:noProof/>
              <w:lang w:eastAsia="en-GB"/>
            </w:rPr>
          </w:pPr>
          <w:hyperlink w:anchor="_Toc499631280" w:history="1">
            <w:r w:rsidR="009A5EF6" w:rsidRPr="00927C93">
              <w:rPr>
                <w:rStyle w:val="Hyperlink"/>
                <w:noProof/>
              </w:rPr>
              <w:t>A2.3.2 Assessment of the Quantification of the Impact of the Revision</w:t>
            </w:r>
            <w:r w:rsidR="009A5EF6">
              <w:rPr>
                <w:noProof/>
                <w:webHidden/>
              </w:rPr>
              <w:tab/>
            </w:r>
            <w:r w:rsidR="009A5EF6">
              <w:rPr>
                <w:noProof/>
                <w:webHidden/>
              </w:rPr>
              <w:fldChar w:fldCharType="begin"/>
            </w:r>
            <w:r w:rsidR="009A5EF6">
              <w:rPr>
                <w:noProof/>
                <w:webHidden/>
              </w:rPr>
              <w:instrText xml:space="preserve"> PAGEREF _Toc499631280 \h </w:instrText>
            </w:r>
            <w:r w:rsidR="009A5EF6">
              <w:rPr>
                <w:noProof/>
                <w:webHidden/>
              </w:rPr>
            </w:r>
            <w:r w:rsidR="009A5EF6">
              <w:rPr>
                <w:noProof/>
                <w:webHidden/>
              </w:rPr>
              <w:fldChar w:fldCharType="separate"/>
            </w:r>
            <w:r w:rsidR="009A5EF6">
              <w:rPr>
                <w:noProof/>
                <w:webHidden/>
              </w:rPr>
              <w:t>28</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81" w:history="1">
            <w:r w:rsidR="009A5EF6" w:rsidRPr="00927C93">
              <w:rPr>
                <w:rStyle w:val="Hyperlink"/>
                <w:noProof/>
              </w:rPr>
              <w:t>A2.4 Conclusions and Recommendations of TERT concerning adjustment applications</w:t>
            </w:r>
            <w:r w:rsidR="009A5EF6">
              <w:rPr>
                <w:noProof/>
                <w:webHidden/>
              </w:rPr>
              <w:tab/>
            </w:r>
            <w:r w:rsidR="009A5EF6">
              <w:rPr>
                <w:noProof/>
                <w:webHidden/>
              </w:rPr>
              <w:fldChar w:fldCharType="begin"/>
            </w:r>
            <w:r w:rsidR="009A5EF6">
              <w:rPr>
                <w:noProof/>
                <w:webHidden/>
              </w:rPr>
              <w:instrText xml:space="preserve"> PAGEREF _Toc499631281 \h </w:instrText>
            </w:r>
            <w:r w:rsidR="009A5EF6">
              <w:rPr>
                <w:noProof/>
                <w:webHidden/>
              </w:rPr>
            </w:r>
            <w:r w:rsidR="009A5EF6">
              <w:rPr>
                <w:noProof/>
                <w:webHidden/>
              </w:rPr>
              <w:fldChar w:fldCharType="separate"/>
            </w:r>
            <w:r w:rsidR="009A5EF6">
              <w:rPr>
                <w:noProof/>
                <w:webHidden/>
              </w:rPr>
              <w:t>29</w:t>
            </w:r>
            <w:r w:rsidR="009A5EF6">
              <w:rPr>
                <w:noProof/>
                <w:webHidden/>
              </w:rPr>
              <w:fldChar w:fldCharType="end"/>
            </w:r>
          </w:hyperlink>
        </w:p>
        <w:p w:rsidR="009A5EF6" w:rsidRDefault="00BC6C77">
          <w:pPr>
            <w:pStyle w:val="TOC2"/>
            <w:tabs>
              <w:tab w:val="right" w:leader="dot" w:pos="9182"/>
            </w:tabs>
            <w:rPr>
              <w:rFonts w:eastAsiaTheme="minorEastAsia"/>
              <w:noProof/>
              <w:lang w:eastAsia="en-GB"/>
            </w:rPr>
          </w:pPr>
          <w:hyperlink w:anchor="_Toc499631282" w:history="1">
            <w:r w:rsidR="009A5EF6" w:rsidRPr="00927C93">
              <w:rPr>
                <w:rStyle w:val="Hyperlink"/>
                <w:noProof/>
              </w:rPr>
              <w:t xml:space="preserve">A2.5 Information </w:t>
            </w:r>
            <w:r w:rsidR="009A5EF6" w:rsidRPr="00927C93">
              <w:rPr>
                <w:rStyle w:val="Hyperlink"/>
                <w:noProof/>
                <w:lang w:val="de-AT"/>
              </w:rPr>
              <w:t>provided</w:t>
            </w:r>
            <w:r w:rsidR="009A5EF6" w:rsidRPr="00927C93">
              <w:rPr>
                <w:rStyle w:val="Hyperlink"/>
                <w:noProof/>
              </w:rPr>
              <w:t xml:space="preserve"> by </w:t>
            </w:r>
            <w:r w:rsidR="009A5EF6" w:rsidRPr="00927C93">
              <w:rPr>
                <w:rStyle w:val="Hyperlink"/>
                <w:noProof/>
                <w:lang w:val="de-AT"/>
              </w:rPr>
              <w:t>Austria</w:t>
            </w:r>
            <w:r w:rsidR="009A5EF6">
              <w:rPr>
                <w:noProof/>
                <w:webHidden/>
              </w:rPr>
              <w:tab/>
            </w:r>
            <w:r w:rsidR="009A5EF6">
              <w:rPr>
                <w:noProof/>
                <w:webHidden/>
              </w:rPr>
              <w:fldChar w:fldCharType="begin"/>
            </w:r>
            <w:r w:rsidR="009A5EF6">
              <w:rPr>
                <w:noProof/>
                <w:webHidden/>
              </w:rPr>
              <w:instrText xml:space="preserve"> PAGEREF _Toc499631282 \h </w:instrText>
            </w:r>
            <w:r w:rsidR="009A5EF6">
              <w:rPr>
                <w:noProof/>
                <w:webHidden/>
              </w:rPr>
            </w:r>
            <w:r w:rsidR="009A5EF6">
              <w:rPr>
                <w:noProof/>
                <w:webHidden/>
              </w:rPr>
              <w:fldChar w:fldCharType="separate"/>
            </w:r>
            <w:r w:rsidR="009A5EF6">
              <w:rPr>
                <w:noProof/>
                <w:webHidden/>
              </w:rPr>
              <w:t>29</w:t>
            </w:r>
            <w:r w:rsidR="009A5EF6">
              <w:rPr>
                <w:noProof/>
                <w:webHidden/>
              </w:rPr>
              <w:fldChar w:fldCharType="end"/>
            </w:r>
          </w:hyperlink>
        </w:p>
        <w:p w:rsidR="009A5EF6" w:rsidRDefault="00BC6C77">
          <w:pPr>
            <w:pStyle w:val="TOC1"/>
            <w:tabs>
              <w:tab w:val="right" w:leader="dot" w:pos="9182"/>
            </w:tabs>
            <w:rPr>
              <w:rFonts w:eastAsiaTheme="minorEastAsia"/>
              <w:noProof/>
              <w:lang w:eastAsia="en-GB"/>
            </w:rPr>
          </w:pPr>
          <w:hyperlink w:anchor="_Toc499631283" w:history="1">
            <w:r w:rsidR="009A5EF6" w:rsidRPr="00927C93">
              <w:rPr>
                <w:rStyle w:val="Hyperlink"/>
                <w:noProof/>
              </w:rPr>
              <w:t>References and Supporting Documents</w:t>
            </w:r>
            <w:r w:rsidR="009A5EF6">
              <w:rPr>
                <w:noProof/>
                <w:webHidden/>
              </w:rPr>
              <w:tab/>
            </w:r>
            <w:r w:rsidR="009A5EF6">
              <w:rPr>
                <w:noProof/>
                <w:webHidden/>
              </w:rPr>
              <w:fldChar w:fldCharType="begin"/>
            </w:r>
            <w:r w:rsidR="009A5EF6">
              <w:rPr>
                <w:noProof/>
                <w:webHidden/>
              </w:rPr>
              <w:instrText xml:space="preserve"> PAGEREF _Toc499631283 \h </w:instrText>
            </w:r>
            <w:r w:rsidR="009A5EF6">
              <w:rPr>
                <w:noProof/>
                <w:webHidden/>
              </w:rPr>
            </w:r>
            <w:r w:rsidR="009A5EF6">
              <w:rPr>
                <w:noProof/>
                <w:webHidden/>
              </w:rPr>
              <w:fldChar w:fldCharType="separate"/>
            </w:r>
            <w:r w:rsidR="009A5EF6">
              <w:rPr>
                <w:noProof/>
                <w:webHidden/>
              </w:rPr>
              <w:t>31</w:t>
            </w:r>
            <w:r w:rsidR="009A5EF6">
              <w:rPr>
                <w:noProof/>
                <w:webHidden/>
              </w:rPr>
              <w:fldChar w:fldCharType="end"/>
            </w:r>
          </w:hyperlink>
        </w:p>
        <w:p w:rsidR="00C3671E" w:rsidRDefault="00AE4156" w:rsidP="008E3A26">
          <w:pPr>
            <w:pStyle w:val="TOC1"/>
            <w:tabs>
              <w:tab w:val="right" w:leader="dot" w:pos="9182"/>
            </w:tabs>
          </w:pPr>
          <w:r>
            <w:rPr>
              <w:b/>
              <w:bCs/>
              <w:noProof/>
            </w:rPr>
            <w:fldChar w:fldCharType="end"/>
          </w:r>
        </w:p>
      </w:sdtContent>
    </w:sdt>
    <w:p w:rsidR="00B9721E" w:rsidRDefault="00B9721E">
      <w:pPr>
        <w:rPr>
          <w:color w:val="2E74B5" w:themeColor="accent1" w:themeShade="BF"/>
          <w:sz w:val="32"/>
          <w:szCs w:val="32"/>
        </w:rPr>
      </w:pPr>
      <w:r>
        <w:rPr>
          <w:color w:val="2E74B5" w:themeColor="accent1" w:themeShade="BF"/>
          <w:sz w:val="32"/>
          <w:szCs w:val="32"/>
        </w:rPr>
        <w:br w:type="page"/>
      </w:r>
    </w:p>
    <w:p w:rsidR="00DC5D3F" w:rsidRPr="00DC5D3F" w:rsidRDefault="00DC5D3F" w:rsidP="00E257A4">
      <w:pPr>
        <w:rPr>
          <w:color w:val="2E74B5" w:themeColor="accent1" w:themeShade="BF"/>
          <w:sz w:val="32"/>
        </w:rPr>
      </w:pPr>
      <w:r w:rsidRPr="00E26436">
        <w:rPr>
          <w:color w:val="2E74B5" w:themeColor="accent1" w:themeShade="BF"/>
          <w:sz w:val="32"/>
          <w:szCs w:val="32"/>
        </w:rPr>
        <w:lastRenderedPageBreak/>
        <w:t>List of tables</w:t>
      </w:r>
    </w:p>
    <w:p w:rsidR="009A5EF6" w:rsidRDefault="00AE4156">
      <w:pPr>
        <w:pStyle w:val="TableofFigures"/>
        <w:tabs>
          <w:tab w:val="right" w:leader="dot" w:pos="9182"/>
        </w:tabs>
        <w:rPr>
          <w:rFonts w:eastAsiaTheme="minorEastAsia"/>
          <w:noProof/>
          <w:lang w:eastAsia="en-GB"/>
        </w:rPr>
      </w:pPr>
      <w:r w:rsidRPr="008E3A26">
        <w:fldChar w:fldCharType="begin"/>
      </w:r>
      <w:r w:rsidR="00DC5D3F" w:rsidRPr="008E3A26">
        <w:instrText xml:space="preserve"> TOC \h \z \c "Table" </w:instrText>
      </w:r>
      <w:r w:rsidRPr="008E3A26">
        <w:fldChar w:fldCharType="separate"/>
      </w:r>
      <w:hyperlink w:anchor="_Toc499631314" w:history="1">
        <w:r w:rsidR="009A5EF6" w:rsidRPr="00D2163C">
          <w:rPr>
            <w:rStyle w:val="Hyperlink"/>
            <w:noProof/>
          </w:rPr>
          <w:t>Table 1: Scope of the comprehensive technical review NECD 2017 (under (EU) 2016/2284)</w:t>
        </w:r>
        <w:r w:rsidR="009A5EF6">
          <w:rPr>
            <w:noProof/>
            <w:webHidden/>
          </w:rPr>
          <w:tab/>
        </w:r>
        <w:r w:rsidR="009A5EF6">
          <w:rPr>
            <w:noProof/>
            <w:webHidden/>
          </w:rPr>
          <w:fldChar w:fldCharType="begin"/>
        </w:r>
        <w:r w:rsidR="009A5EF6">
          <w:rPr>
            <w:noProof/>
            <w:webHidden/>
          </w:rPr>
          <w:instrText xml:space="preserve"> PAGEREF _Toc499631314 \h </w:instrText>
        </w:r>
        <w:r w:rsidR="009A5EF6">
          <w:rPr>
            <w:noProof/>
            <w:webHidden/>
          </w:rPr>
        </w:r>
        <w:r w:rsidR="009A5EF6">
          <w:rPr>
            <w:noProof/>
            <w:webHidden/>
          </w:rPr>
          <w:fldChar w:fldCharType="separate"/>
        </w:r>
        <w:r w:rsidR="009A5EF6">
          <w:rPr>
            <w:noProof/>
            <w:webHidden/>
          </w:rPr>
          <w:t>8</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15" w:history="1">
        <w:r w:rsidR="009A5EF6" w:rsidRPr="00D2163C">
          <w:rPr>
            <w:rStyle w:val="Hyperlink"/>
            <w:noProof/>
          </w:rPr>
          <w:t>Table 2: National totals as reported and national totals including revised estimates (RE) and technical corrections (TC)</w:t>
        </w:r>
        <w:r w:rsidR="009A5EF6">
          <w:rPr>
            <w:noProof/>
            <w:webHidden/>
          </w:rPr>
          <w:tab/>
        </w:r>
        <w:r w:rsidR="009A5EF6">
          <w:rPr>
            <w:noProof/>
            <w:webHidden/>
          </w:rPr>
          <w:fldChar w:fldCharType="begin"/>
        </w:r>
        <w:r w:rsidR="009A5EF6">
          <w:rPr>
            <w:noProof/>
            <w:webHidden/>
          </w:rPr>
          <w:instrText xml:space="preserve"> PAGEREF _Toc499631315 \h </w:instrText>
        </w:r>
        <w:r w:rsidR="009A5EF6">
          <w:rPr>
            <w:noProof/>
            <w:webHidden/>
          </w:rPr>
        </w:r>
        <w:r w:rsidR="009A5EF6">
          <w:rPr>
            <w:noProof/>
            <w:webHidden/>
          </w:rPr>
          <w:fldChar w:fldCharType="separate"/>
        </w:r>
        <w:r w:rsidR="009A5EF6">
          <w:rPr>
            <w:noProof/>
            <w:webHidden/>
          </w:rPr>
          <w:t>10</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16" w:history="1">
        <w:r w:rsidR="009A5EF6" w:rsidRPr="00D2163C">
          <w:rPr>
            <w:rStyle w:val="Hyperlink"/>
            <w:noProof/>
          </w:rPr>
          <w:t>Table 3: Recommendations from TERT, considering revised estimates (RE) and technical corrections (TC)</w:t>
        </w:r>
        <w:r w:rsidR="009A5EF6">
          <w:rPr>
            <w:noProof/>
            <w:webHidden/>
          </w:rPr>
          <w:tab/>
        </w:r>
        <w:r w:rsidR="009A5EF6">
          <w:rPr>
            <w:noProof/>
            <w:webHidden/>
          </w:rPr>
          <w:fldChar w:fldCharType="begin"/>
        </w:r>
        <w:r w:rsidR="009A5EF6">
          <w:rPr>
            <w:noProof/>
            <w:webHidden/>
          </w:rPr>
          <w:instrText xml:space="preserve"> PAGEREF _Toc499631316 \h </w:instrText>
        </w:r>
        <w:r w:rsidR="009A5EF6">
          <w:rPr>
            <w:noProof/>
            <w:webHidden/>
          </w:rPr>
        </w:r>
        <w:r w:rsidR="009A5EF6">
          <w:rPr>
            <w:noProof/>
            <w:webHidden/>
          </w:rPr>
          <w:fldChar w:fldCharType="separate"/>
        </w:r>
        <w:r w:rsidR="009A5EF6">
          <w:rPr>
            <w:noProof/>
            <w:webHidden/>
          </w:rPr>
          <w:t>14</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17" w:history="1">
        <w:r w:rsidR="009A5EF6" w:rsidRPr="00D2163C">
          <w:rPr>
            <w:rStyle w:val="Hyperlink"/>
            <w:noProof/>
          </w:rPr>
          <w:t>Table 4: Recommendations from the TERT, considering the use of the 2013 version of the Guidebook</w:t>
        </w:r>
        <w:r w:rsidR="009A5EF6">
          <w:rPr>
            <w:noProof/>
            <w:webHidden/>
          </w:rPr>
          <w:tab/>
        </w:r>
        <w:r w:rsidR="009A5EF6">
          <w:rPr>
            <w:noProof/>
            <w:webHidden/>
          </w:rPr>
          <w:fldChar w:fldCharType="begin"/>
        </w:r>
        <w:r w:rsidR="009A5EF6">
          <w:rPr>
            <w:noProof/>
            <w:webHidden/>
          </w:rPr>
          <w:instrText xml:space="preserve"> PAGEREF _Toc499631317 \h </w:instrText>
        </w:r>
        <w:r w:rsidR="009A5EF6">
          <w:rPr>
            <w:noProof/>
            <w:webHidden/>
          </w:rPr>
        </w:r>
        <w:r w:rsidR="009A5EF6">
          <w:rPr>
            <w:noProof/>
            <w:webHidden/>
          </w:rPr>
          <w:fldChar w:fldCharType="separate"/>
        </w:r>
        <w:r w:rsidR="009A5EF6">
          <w:rPr>
            <w:noProof/>
            <w:webHidden/>
          </w:rPr>
          <w:t>19</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18" w:history="1">
        <w:r w:rsidR="009A5EF6" w:rsidRPr="00D2163C">
          <w:rPr>
            <w:rStyle w:val="Hyperlink"/>
            <w:noProof/>
          </w:rPr>
          <w:t>Table 5: Summary of Technical Revisions</w:t>
        </w:r>
        <w:r w:rsidR="009A5EF6">
          <w:rPr>
            <w:noProof/>
            <w:webHidden/>
          </w:rPr>
          <w:tab/>
        </w:r>
        <w:r w:rsidR="009A5EF6">
          <w:rPr>
            <w:noProof/>
            <w:webHidden/>
          </w:rPr>
          <w:fldChar w:fldCharType="begin"/>
        </w:r>
        <w:r w:rsidR="009A5EF6">
          <w:rPr>
            <w:noProof/>
            <w:webHidden/>
          </w:rPr>
          <w:instrText xml:space="preserve"> PAGEREF _Toc499631318 \h </w:instrText>
        </w:r>
        <w:r w:rsidR="009A5EF6">
          <w:rPr>
            <w:noProof/>
            <w:webHidden/>
          </w:rPr>
        </w:r>
        <w:r w:rsidR="009A5EF6">
          <w:rPr>
            <w:noProof/>
            <w:webHidden/>
          </w:rPr>
          <w:fldChar w:fldCharType="separate"/>
        </w:r>
        <w:r w:rsidR="009A5EF6">
          <w:rPr>
            <w:noProof/>
            <w:webHidden/>
          </w:rPr>
          <w:t>23</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19" w:history="1">
        <w:r w:rsidR="009A5EF6" w:rsidRPr="00D2163C">
          <w:rPr>
            <w:rStyle w:val="Hyperlink"/>
            <w:noProof/>
          </w:rPr>
          <w:t>Table A2. 6 Summary Information on the Submitted Adjustment Application, Austria 2017</w:t>
        </w:r>
        <w:r w:rsidR="009A5EF6">
          <w:rPr>
            <w:noProof/>
            <w:webHidden/>
          </w:rPr>
          <w:tab/>
        </w:r>
        <w:r w:rsidR="009A5EF6">
          <w:rPr>
            <w:noProof/>
            <w:webHidden/>
          </w:rPr>
          <w:fldChar w:fldCharType="begin"/>
        </w:r>
        <w:r w:rsidR="009A5EF6">
          <w:rPr>
            <w:noProof/>
            <w:webHidden/>
          </w:rPr>
          <w:instrText xml:space="preserve"> PAGEREF _Toc499631319 \h </w:instrText>
        </w:r>
        <w:r w:rsidR="009A5EF6">
          <w:rPr>
            <w:noProof/>
            <w:webHidden/>
          </w:rPr>
        </w:r>
        <w:r w:rsidR="009A5EF6">
          <w:rPr>
            <w:noProof/>
            <w:webHidden/>
          </w:rPr>
          <w:fldChar w:fldCharType="separate"/>
        </w:r>
        <w:r w:rsidR="009A5EF6">
          <w:rPr>
            <w:noProof/>
            <w:webHidden/>
          </w:rPr>
          <w:t>26</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20" w:history="1">
        <w:r w:rsidR="009A5EF6" w:rsidRPr="00D2163C">
          <w:rPr>
            <w:rStyle w:val="Hyperlink"/>
            <w:noProof/>
          </w:rPr>
          <w:t>Table A2. 7</w:t>
        </w:r>
        <w:r w:rsidR="009A5EF6" w:rsidRPr="00D2163C">
          <w:rPr>
            <w:rStyle w:val="Hyperlink"/>
            <w:rFonts w:cs="Arial"/>
            <w:noProof/>
          </w:rPr>
          <w:t xml:space="preserve"> </w:t>
        </w:r>
        <w:r w:rsidR="009A5EF6" w:rsidRPr="00D2163C">
          <w:rPr>
            <w:rStyle w:val="Hyperlink"/>
            <w:noProof/>
          </w:rPr>
          <w:t>Expert Review Team</w:t>
        </w:r>
        <w:r w:rsidR="009A5EF6">
          <w:rPr>
            <w:noProof/>
            <w:webHidden/>
          </w:rPr>
          <w:tab/>
        </w:r>
        <w:r w:rsidR="009A5EF6">
          <w:rPr>
            <w:noProof/>
            <w:webHidden/>
          </w:rPr>
          <w:fldChar w:fldCharType="begin"/>
        </w:r>
        <w:r w:rsidR="009A5EF6">
          <w:rPr>
            <w:noProof/>
            <w:webHidden/>
          </w:rPr>
          <w:instrText xml:space="preserve"> PAGEREF _Toc499631320 \h </w:instrText>
        </w:r>
        <w:r w:rsidR="009A5EF6">
          <w:rPr>
            <w:noProof/>
            <w:webHidden/>
          </w:rPr>
        </w:r>
        <w:r w:rsidR="009A5EF6">
          <w:rPr>
            <w:noProof/>
            <w:webHidden/>
          </w:rPr>
          <w:fldChar w:fldCharType="separate"/>
        </w:r>
        <w:r w:rsidR="009A5EF6">
          <w:rPr>
            <w:noProof/>
            <w:webHidden/>
          </w:rPr>
          <w:t>28</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21" w:history="1">
        <w:r w:rsidR="009A5EF6" w:rsidRPr="00D2163C">
          <w:rPr>
            <w:rStyle w:val="Hyperlink"/>
            <w:noProof/>
          </w:rPr>
          <w:t>Table A2. 8 Austria’s NO</w:t>
        </w:r>
        <w:r w:rsidR="009A5EF6" w:rsidRPr="00D2163C">
          <w:rPr>
            <w:rStyle w:val="Hyperlink"/>
            <w:noProof/>
            <w:vertAlign w:val="subscript"/>
          </w:rPr>
          <w:t>X</w:t>
        </w:r>
        <w:r w:rsidR="009A5EF6" w:rsidRPr="00D2163C">
          <w:rPr>
            <w:rStyle w:val="Hyperlink"/>
            <w:noProof/>
          </w:rPr>
          <w:t xml:space="preserve"> Adjustment Applications for Road Transport, 2010-2015</w:t>
        </w:r>
        <w:r w:rsidR="009A5EF6">
          <w:rPr>
            <w:noProof/>
            <w:webHidden/>
          </w:rPr>
          <w:tab/>
        </w:r>
        <w:r w:rsidR="009A5EF6">
          <w:rPr>
            <w:noProof/>
            <w:webHidden/>
          </w:rPr>
          <w:fldChar w:fldCharType="begin"/>
        </w:r>
        <w:r w:rsidR="009A5EF6">
          <w:rPr>
            <w:noProof/>
            <w:webHidden/>
          </w:rPr>
          <w:instrText xml:space="preserve"> PAGEREF _Toc499631321 \h </w:instrText>
        </w:r>
        <w:r w:rsidR="009A5EF6">
          <w:rPr>
            <w:noProof/>
            <w:webHidden/>
          </w:rPr>
        </w:r>
        <w:r w:rsidR="009A5EF6">
          <w:rPr>
            <w:noProof/>
            <w:webHidden/>
          </w:rPr>
          <w:fldChar w:fldCharType="separate"/>
        </w:r>
        <w:r w:rsidR="009A5EF6">
          <w:rPr>
            <w:noProof/>
            <w:webHidden/>
          </w:rPr>
          <w:t>29</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22" w:history="1">
        <w:r w:rsidR="009A5EF6" w:rsidRPr="00D2163C">
          <w:rPr>
            <w:rStyle w:val="Hyperlink"/>
            <w:noProof/>
          </w:rPr>
          <w:t>Table A2. 9 Austria’s NH</w:t>
        </w:r>
        <w:r w:rsidR="009A5EF6" w:rsidRPr="00D2163C">
          <w:rPr>
            <w:rStyle w:val="Hyperlink"/>
            <w:noProof/>
            <w:vertAlign w:val="subscript"/>
          </w:rPr>
          <w:t>3</w:t>
        </w:r>
        <w:r w:rsidR="009A5EF6" w:rsidRPr="00D2163C">
          <w:rPr>
            <w:rStyle w:val="Hyperlink"/>
            <w:noProof/>
          </w:rPr>
          <w:t xml:space="preserve"> Adjustment Applications for Agriculture, 2010-2015</w:t>
        </w:r>
        <w:r w:rsidR="009A5EF6">
          <w:rPr>
            <w:noProof/>
            <w:webHidden/>
          </w:rPr>
          <w:tab/>
        </w:r>
        <w:r w:rsidR="009A5EF6">
          <w:rPr>
            <w:noProof/>
            <w:webHidden/>
          </w:rPr>
          <w:fldChar w:fldCharType="begin"/>
        </w:r>
        <w:r w:rsidR="009A5EF6">
          <w:rPr>
            <w:noProof/>
            <w:webHidden/>
          </w:rPr>
          <w:instrText xml:space="preserve"> PAGEREF _Toc499631322 \h </w:instrText>
        </w:r>
        <w:r w:rsidR="009A5EF6">
          <w:rPr>
            <w:noProof/>
            <w:webHidden/>
          </w:rPr>
        </w:r>
        <w:r w:rsidR="009A5EF6">
          <w:rPr>
            <w:noProof/>
            <w:webHidden/>
          </w:rPr>
          <w:fldChar w:fldCharType="separate"/>
        </w:r>
        <w:r w:rsidR="009A5EF6">
          <w:rPr>
            <w:noProof/>
            <w:webHidden/>
          </w:rPr>
          <w:t>30</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23" w:history="1">
        <w:r w:rsidR="009A5EF6" w:rsidRPr="00D2163C">
          <w:rPr>
            <w:rStyle w:val="Hyperlink"/>
            <w:noProof/>
          </w:rPr>
          <w:t>Table A2. 10 Recommendations from the TERT to the Commission, Austria 2017</w:t>
        </w:r>
        <w:r w:rsidR="009A5EF6">
          <w:rPr>
            <w:noProof/>
            <w:webHidden/>
          </w:rPr>
          <w:tab/>
        </w:r>
        <w:r w:rsidR="009A5EF6">
          <w:rPr>
            <w:noProof/>
            <w:webHidden/>
          </w:rPr>
          <w:fldChar w:fldCharType="begin"/>
        </w:r>
        <w:r w:rsidR="009A5EF6">
          <w:rPr>
            <w:noProof/>
            <w:webHidden/>
          </w:rPr>
          <w:instrText xml:space="preserve"> PAGEREF _Toc499631323 \h </w:instrText>
        </w:r>
        <w:r w:rsidR="009A5EF6">
          <w:rPr>
            <w:noProof/>
            <w:webHidden/>
          </w:rPr>
        </w:r>
        <w:r w:rsidR="009A5EF6">
          <w:rPr>
            <w:noProof/>
            <w:webHidden/>
          </w:rPr>
          <w:fldChar w:fldCharType="separate"/>
        </w:r>
        <w:r w:rsidR="009A5EF6">
          <w:rPr>
            <w:noProof/>
            <w:webHidden/>
          </w:rPr>
          <w:t>31</w:t>
        </w:r>
        <w:r w:rsidR="009A5EF6">
          <w:rPr>
            <w:noProof/>
            <w:webHidden/>
          </w:rPr>
          <w:fldChar w:fldCharType="end"/>
        </w:r>
      </w:hyperlink>
    </w:p>
    <w:p w:rsidR="009A5EF6" w:rsidRDefault="00BC6C77">
      <w:pPr>
        <w:pStyle w:val="TableofFigures"/>
        <w:tabs>
          <w:tab w:val="right" w:leader="dot" w:pos="9182"/>
        </w:tabs>
        <w:rPr>
          <w:rFonts w:eastAsiaTheme="minorEastAsia"/>
          <w:noProof/>
          <w:lang w:eastAsia="en-GB"/>
        </w:rPr>
      </w:pPr>
      <w:hyperlink w:anchor="_Toc499631324" w:history="1">
        <w:r w:rsidR="009A5EF6" w:rsidRPr="00D2163C">
          <w:rPr>
            <w:rStyle w:val="Hyperlink"/>
            <w:noProof/>
          </w:rPr>
          <w:t>Table A2. 11 Information provided by Austria</w:t>
        </w:r>
        <w:r w:rsidR="009A5EF6">
          <w:rPr>
            <w:noProof/>
            <w:webHidden/>
          </w:rPr>
          <w:tab/>
        </w:r>
        <w:r w:rsidR="009A5EF6">
          <w:rPr>
            <w:noProof/>
            <w:webHidden/>
          </w:rPr>
          <w:fldChar w:fldCharType="begin"/>
        </w:r>
        <w:r w:rsidR="009A5EF6">
          <w:rPr>
            <w:noProof/>
            <w:webHidden/>
          </w:rPr>
          <w:instrText xml:space="preserve"> PAGEREF _Toc499631324 \h </w:instrText>
        </w:r>
        <w:r w:rsidR="009A5EF6">
          <w:rPr>
            <w:noProof/>
            <w:webHidden/>
          </w:rPr>
        </w:r>
        <w:r w:rsidR="009A5EF6">
          <w:rPr>
            <w:noProof/>
            <w:webHidden/>
          </w:rPr>
          <w:fldChar w:fldCharType="separate"/>
        </w:r>
        <w:r w:rsidR="009A5EF6">
          <w:rPr>
            <w:noProof/>
            <w:webHidden/>
          </w:rPr>
          <w:t>31</w:t>
        </w:r>
        <w:r w:rsidR="009A5EF6">
          <w:rPr>
            <w:noProof/>
            <w:webHidden/>
          </w:rPr>
          <w:fldChar w:fldCharType="end"/>
        </w:r>
      </w:hyperlink>
    </w:p>
    <w:p w:rsidR="00C3671E" w:rsidRDefault="00AE4156" w:rsidP="002750E2">
      <w:pPr>
        <w:spacing w:after="100"/>
      </w:pPr>
      <w:r w:rsidRPr="008E3A26">
        <w:fldChar w:fldCharType="end"/>
      </w:r>
    </w:p>
    <w:p w:rsidR="00830BFB" w:rsidRDefault="00830BFB" w:rsidP="00B34B14">
      <w:pPr>
        <w:rPr>
          <w:color w:val="2E74B5" w:themeColor="accent1" w:themeShade="BF"/>
          <w:sz w:val="32"/>
        </w:rPr>
      </w:pPr>
      <w:r w:rsidRPr="00B34B14">
        <w:rPr>
          <w:color w:val="2E74B5" w:themeColor="accent1" w:themeShade="BF"/>
          <w:sz w:val="32"/>
        </w:rPr>
        <w:t>Abbreviations</w:t>
      </w:r>
    </w:p>
    <w:tbl>
      <w:tblPr>
        <w:tblW w:w="0" w:type="auto"/>
        <w:tblLook w:val="04A0" w:firstRow="1" w:lastRow="0" w:firstColumn="1" w:lastColumn="0" w:noHBand="0" w:noVBand="1"/>
      </w:tblPr>
      <w:tblGrid>
        <w:gridCol w:w="1101"/>
        <w:gridCol w:w="8307"/>
      </w:tblGrid>
      <w:tr w:rsidR="007E1F57" w:rsidTr="004863E6">
        <w:tc>
          <w:tcPr>
            <w:tcW w:w="1101" w:type="dxa"/>
            <w:vAlign w:val="center"/>
          </w:tcPr>
          <w:p w:rsidR="007E1F57" w:rsidRDefault="007E1F57" w:rsidP="005C228E">
            <w:pPr>
              <w:pStyle w:val="NoSpacing"/>
            </w:pPr>
            <w:r>
              <w:t>AD</w:t>
            </w:r>
          </w:p>
        </w:tc>
        <w:tc>
          <w:tcPr>
            <w:tcW w:w="8307" w:type="dxa"/>
            <w:vAlign w:val="center"/>
          </w:tcPr>
          <w:p w:rsidR="007E1F57" w:rsidRDefault="007E1F57" w:rsidP="005C228E">
            <w:pPr>
              <w:pStyle w:val="NoSpacing"/>
            </w:pPr>
            <w:r>
              <w:t>Activity data</w:t>
            </w:r>
          </w:p>
        </w:tc>
      </w:tr>
      <w:tr w:rsidR="00830BFB" w:rsidTr="004863E6">
        <w:tc>
          <w:tcPr>
            <w:tcW w:w="1101" w:type="dxa"/>
            <w:vAlign w:val="center"/>
          </w:tcPr>
          <w:p w:rsidR="00830BFB" w:rsidRDefault="00830BFB" w:rsidP="005C228E">
            <w:pPr>
              <w:pStyle w:val="NoSpacing"/>
            </w:pPr>
            <w:r>
              <w:t>Adj</w:t>
            </w:r>
          </w:p>
        </w:tc>
        <w:tc>
          <w:tcPr>
            <w:tcW w:w="8307" w:type="dxa"/>
            <w:vAlign w:val="center"/>
          </w:tcPr>
          <w:p w:rsidR="00830BFB" w:rsidRDefault="004A02DA" w:rsidP="005C228E">
            <w:pPr>
              <w:pStyle w:val="NoSpacing"/>
            </w:pPr>
            <w:r>
              <w:t>Adjustment</w:t>
            </w:r>
          </w:p>
        </w:tc>
      </w:tr>
      <w:tr w:rsidR="00830BFB" w:rsidTr="004863E6">
        <w:tc>
          <w:tcPr>
            <w:tcW w:w="1101" w:type="dxa"/>
            <w:vAlign w:val="center"/>
          </w:tcPr>
          <w:p w:rsidR="00830BFB" w:rsidRDefault="00830BFB" w:rsidP="005C228E">
            <w:pPr>
              <w:pStyle w:val="NoSpacing"/>
            </w:pPr>
            <w:r>
              <w:t>EC</w:t>
            </w:r>
          </w:p>
        </w:tc>
        <w:tc>
          <w:tcPr>
            <w:tcW w:w="8307" w:type="dxa"/>
            <w:vAlign w:val="center"/>
          </w:tcPr>
          <w:p w:rsidR="00830BFB" w:rsidRDefault="004A02DA" w:rsidP="005C228E">
            <w:pPr>
              <w:pStyle w:val="NoSpacing"/>
            </w:pPr>
            <w:r>
              <w:t>European Commission</w:t>
            </w:r>
          </w:p>
        </w:tc>
      </w:tr>
      <w:tr w:rsidR="00830BFB" w:rsidTr="004863E6">
        <w:tc>
          <w:tcPr>
            <w:tcW w:w="1101" w:type="dxa"/>
            <w:vAlign w:val="center"/>
          </w:tcPr>
          <w:p w:rsidR="00830BFB" w:rsidRDefault="00830BFB" w:rsidP="005C228E">
            <w:pPr>
              <w:pStyle w:val="NoSpacing"/>
            </w:pPr>
            <w:r>
              <w:t>EEA</w:t>
            </w:r>
          </w:p>
        </w:tc>
        <w:tc>
          <w:tcPr>
            <w:tcW w:w="8307" w:type="dxa"/>
            <w:vAlign w:val="center"/>
          </w:tcPr>
          <w:p w:rsidR="00830BFB" w:rsidRDefault="004A02DA" w:rsidP="005C228E">
            <w:pPr>
              <w:pStyle w:val="NoSpacing"/>
            </w:pPr>
            <w:r>
              <w:t>European Environment Agency</w:t>
            </w:r>
          </w:p>
        </w:tc>
      </w:tr>
      <w:tr w:rsidR="007E1F57" w:rsidTr="004863E6">
        <w:tc>
          <w:tcPr>
            <w:tcW w:w="1101" w:type="dxa"/>
            <w:vAlign w:val="center"/>
          </w:tcPr>
          <w:p w:rsidR="007E1F57" w:rsidRDefault="007E1F57" w:rsidP="005C228E">
            <w:pPr>
              <w:pStyle w:val="NoSpacing"/>
            </w:pPr>
            <w:r>
              <w:t>EF</w:t>
            </w:r>
          </w:p>
        </w:tc>
        <w:tc>
          <w:tcPr>
            <w:tcW w:w="8307" w:type="dxa"/>
            <w:vAlign w:val="center"/>
          </w:tcPr>
          <w:p w:rsidR="007E1F57" w:rsidRDefault="007E1F57" w:rsidP="005C228E">
            <w:pPr>
              <w:pStyle w:val="NoSpacing"/>
            </w:pPr>
            <w:r>
              <w:t>Emission factor</w:t>
            </w:r>
          </w:p>
        </w:tc>
      </w:tr>
      <w:tr w:rsidR="00830BFB" w:rsidTr="004863E6">
        <w:tc>
          <w:tcPr>
            <w:tcW w:w="1101" w:type="dxa"/>
            <w:vAlign w:val="center"/>
          </w:tcPr>
          <w:p w:rsidR="00830BFB" w:rsidRDefault="00830BFB" w:rsidP="005C228E">
            <w:pPr>
              <w:pStyle w:val="NoSpacing"/>
            </w:pPr>
            <w:r>
              <w:t>EMRT</w:t>
            </w:r>
          </w:p>
        </w:tc>
        <w:tc>
          <w:tcPr>
            <w:tcW w:w="8307" w:type="dxa"/>
            <w:vAlign w:val="center"/>
          </w:tcPr>
          <w:p w:rsidR="00830BFB" w:rsidRDefault="004A02DA" w:rsidP="005C228E">
            <w:pPr>
              <w:pStyle w:val="NoSpacing"/>
            </w:pPr>
            <w:r>
              <w:t>Emission Review Tool</w:t>
            </w:r>
          </w:p>
        </w:tc>
      </w:tr>
      <w:tr w:rsidR="00830BFB" w:rsidTr="004863E6">
        <w:tc>
          <w:tcPr>
            <w:tcW w:w="1101" w:type="dxa"/>
            <w:vAlign w:val="center"/>
          </w:tcPr>
          <w:p w:rsidR="00830BFB" w:rsidRDefault="00830BFB" w:rsidP="005C228E">
            <w:pPr>
              <w:pStyle w:val="NoSpacing"/>
            </w:pPr>
            <w:r>
              <w:t>EU</w:t>
            </w:r>
          </w:p>
        </w:tc>
        <w:tc>
          <w:tcPr>
            <w:tcW w:w="8307" w:type="dxa"/>
            <w:vAlign w:val="center"/>
          </w:tcPr>
          <w:p w:rsidR="00830BFB" w:rsidRDefault="004A02DA" w:rsidP="005C228E">
            <w:pPr>
              <w:pStyle w:val="NoSpacing"/>
            </w:pPr>
            <w:r>
              <w:t>European Union</w:t>
            </w:r>
          </w:p>
        </w:tc>
      </w:tr>
      <w:tr w:rsidR="007E1F57" w:rsidTr="004863E6">
        <w:tc>
          <w:tcPr>
            <w:tcW w:w="1101" w:type="dxa"/>
            <w:vAlign w:val="center"/>
          </w:tcPr>
          <w:p w:rsidR="007E1F57" w:rsidRDefault="007E1F57" w:rsidP="005C228E">
            <w:pPr>
              <w:pStyle w:val="NoSpacing"/>
            </w:pPr>
            <w:r>
              <w:t>IE</w:t>
            </w:r>
          </w:p>
        </w:tc>
        <w:tc>
          <w:tcPr>
            <w:tcW w:w="8307" w:type="dxa"/>
            <w:vAlign w:val="center"/>
          </w:tcPr>
          <w:p w:rsidR="007E1F57" w:rsidRDefault="007E1F57" w:rsidP="005C228E">
            <w:pPr>
              <w:pStyle w:val="NoSpacing"/>
            </w:pPr>
            <w:r>
              <w:t>Included elsewhere</w:t>
            </w:r>
          </w:p>
        </w:tc>
      </w:tr>
      <w:tr w:rsidR="00830BFB" w:rsidTr="004863E6">
        <w:tc>
          <w:tcPr>
            <w:tcW w:w="1101" w:type="dxa"/>
            <w:vAlign w:val="center"/>
          </w:tcPr>
          <w:p w:rsidR="00830BFB" w:rsidRDefault="00830BFB" w:rsidP="005C228E">
            <w:pPr>
              <w:pStyle w:val="NoSpacing"/>
            </w:pPr>
            <w:r>
              <w:t>kt</w:t>
            </w:r>
          </w:p>
        </w:tc>
        <w:tc>
          <w:tcPr>
            <w:tcW w:w="8307" w:type="dxa"/>
            <w:vAlign w:val="center"/>
          </w:tcPr>
          <w:p w:rsidR="00830BFB" w:rsidRDefault="004A02DA" w:rsidP="005C228E">
            <w:pPr>
              <w:pStyle w:val="NoSpacing"/>
            </w:pPr>
            <w:r>
              <w:t>Kilotonnes</w:t>
            </w:r>
          </w:p>
        </w:tc>
      </w:tr>
      <w:tr w:rsidR="00830BFB" w:rsidTr="004863E6">
        <w:tc>
          <w:tcPr>
            <w:tcW w:w="1101" w:type="dxa"/>
            <w:vAlign w:val="center"/>
          </w:tcPr>
          <w:p w:rsidR="00830BFB" w:rsidRDefault="00830BFB" w:rsidP="005C228E">
            <w:pPr>
              <w:pStyle w:val="NoSpacing"/>
            </w:pPr>
            <w:r w:rsidRPr="005769E5">
              <w:t>LR</w:t>
            </w:r>
          </w:p>
        </w:tc>
        <w:tc>
          <w:tcPr>
            <w:tcW w:w="8307" w:type="dxa"/>
            <w:vAlign w:val="center"/>
          </w:tcPr>
          <w:p w:rsidR="00830BFB" w:rsidRDefault="004A02DA" w:rsidP="005C228E">
            <w:pPr>
              <w:pStyle w:val="NoSpacing"/>
            </w:pPr>
            <w:r>
              <w:t>Lead Reviewer</w:t>
            </w:r>
          </w:p>
        </w:tc>
      </w:tr>
      <w:tr w:rsidR="00830BFB" w:rsidTr="004863E6">
        <w:tc>
          <w:tcPr>
            <w:tcW w:w="1101" w:type="dxa"/>
            <w:vAlign w:val="center"/>
          </w:tcPr>
          <w:p w:rsidR="00830BFB" w:rsidRDefault="00830BFB" w:rsidP="005C228E">
            <w:pPr>
              <w:pStyle w:val="NoSpacing"/>
            </w:pPr>
            <w:r w:rsidRPr="005769E5">
              <w:t>MS</w:t>
            </w:r>
          </w:p>
        </w:tc>
        <w:tc>
          <w:tcPr>
            <w:tcW w:w="8307" w:type="dxa"/>
            <w:vAlign w:val="center"/>
          </w:tcPr>
          <w:p w:rsidR="00830BFB" w:rsidRDefault="004A02DA" w:rsidP="005C228E">
            <w:pPr>
              <w:pStyle w:val="NoSpacing"/>
            </w:pPr>
            <w:r>
              <w:t>Member State</w:t>
            </w:r>
          </w:p>
        </w:tc>
      </w:tr>
      <w:tr w:rsidR="007E1F57" w:rsidTr="004863E6">
        <w:tc>
          <w:tcPr>
            <w:tcW w:w="1101" w:type="dxa"/>
            <w:vAlign w:val="center"/>
          </w:tcPr>
          <w:p w:rsidR="007E1F57" w:rsidRPr="005769E5" w:rsidRDefault="007E1F57" w:rsidP="005C228E">
            <w:pPr>
              <w:pStyle w:val="NoSpacing"/>
            </w:pPr>
            <w:r>
              <w:t>NA</w:t>
            </w:r>
          </w:p>
        </w:tc>
        <w:tc>
          <w:tcPr>
            <w:tcW w:w="8307" w:type="dxa"/>
            <w:vAlign w:val="center"/>
          </w:tcPr>
          <w:p w:rsidR="007E1F57" w:rsidRDefault="007E1F57" w:rsidP="005C228E">
            <w:pPr>
              <w:pStyle w:val="NoSpacing"/>
            </w:pPr>
            <w:r>
              <w:t>Not applicable</w:t>
            </w:r>
          </w:p>
        </w:tc>
      </w:tr>
      <w:tr w:rsidR="007E1F57" w:rsidTr="004863E6">
        <w:tc>
          <w:tcPr>
            <w:tcW w:w="1101" w:type="dxa"/>
            <w:vAlign w:val="center"/>
          </w:tcPr>
          <w:p w:rsidR="007E1F57" w:rsidRDefault="007E1F57" w:rsidP="005C228E">
            <w:pPr>
              <w:pStyle w:val="NoSpacing"/>
            </w:pPr>
            <w:r>
              <w:t>NE</w:t>
            </w:r>
          </w:p>
        </w:tc>
        <w:tc>
          <w:tcPr>
            <w:tcW w:w="8307" w:type="dxa"/>
            <w:vAlign w:val="center"/>
          </w:tcPr>
          <w:p w:rsidR="007E1F57" w:rsidRDefault="007E1F57" w:rsidP="005C228E">
            <w:pPr>
              <w:pStyle w:val="NoSpacing"/>
            </w:pPr>
            <w:r>
              <w:t>Not estimated</w:t>
            </w:r>
          </w:p>
        </w:tc>
      </w:tr>
      <w:tr w:rsidR="00830BFB" w:rsidTr="004863E6">
        <w:tc>
          <w:tcPr>
            <w:tcW w:w="1101" w:type="dxa"/>
            <w:vAlign w:val="center"/>
          </w:tcPr>
          <w:p w:rsidR="00830BFB" w:rsidRDefault="00830BFB" w:rsidP="005C228E">
            <w:pPr>
              <w:pStyle w:val="NoSpacing"/>
            </w:pPr>
            <w:r w:rsidRPr="005769E5">
              <w:t>NECD</w:t>
            </w:r>
          </w:p>
        </w:tc>
        <w:tc>
          <w:tcPr>
            <w:tcW w:w="8307" w:type="dxa"/>
            <w:vAlign w:val="center"/>
          </w:tcPr>
          <w:p w:rsidR="00830BFB" w:rsidRDefault="004A02DA" w:rsidP="005C228E">
            <w:pPr>
              <w:pStyle w:val="NoSpacing"/>
            </w:pPr>
            <w:r>
              <w:t>National Emissions Ceilings Directive</w:t>
            </w:r>
          </w:p>
        </w:tc>
      </w:tr>
      <w:tr w:rsidR="00830BFB" w:rsidTr="004863E6">
        <w:tc>
          <w:tcPr>
            <w:tcW w:w="1101" w:type="dxa"/>
            <w:vAlign w:val="center"/>
          </w:tcPr>
          <w:p w:rsidR="00830BFB" w:rsidRDefault="00830BFB" w:rsidP="005C228E">
            <w:pPr>
              <w:pStyle w:val="NoSpacing"/>
            </w:pPr>
            <w:r>
              <w:t>NFR</w:t>
            </w:r>
          </w:p>
        </w:tc>
        <w:tc>
          <w:tcPr>
            <w:tcW w:w="8307" w:type="dxa"/>
            <w:vAlign w:val="center"/>
          </w:tcPr>
          <w:p w:rsidR="00830BFB" w:rsidRDefault="004A02DA" w:rsidP="005C228E">
            <w:pPr>
              <w:pStyle w:val="NoSpacing"/>
            </w:pPr>
            <w:r>
              <w:t>Nomenclature for Reporting</w:t>
            </w:r>
          </w:p>
        </w:tc>
      </w:tr>
      <w:tr w:rsidR="00830BFB" w:rsidTr="004863E6">
        <w:tc>
          <w:tcPr>
            <w:tcW w:w="1101" w:type="dxa"/>
            <w:vAlign w:val="center"/>
          </w:tcPr>
          <w:p w:rsidR="00830BFB" w:rsidRDefault="0057457C" w:rsidP="005C228E">
            <w:pPr>
              <w:pStyle w:val="NoSpacing"/>
            </w:pPr>
            <w:r w:rsidRPr="0057457C">
              <w:t>NH</w:t>
            </w:r>
            <w:r w:rsidRPr="0057457C">
              <w:rPr>
                <w:vertAlign w:val="subscript"/>
              </w:rPr>
              <w:t>3</w:t>
            </w:r>
          </w:p>
        </w:tc>
        <w:tc>
          <w:tcPr>
            <w:tcW w:w="8307" w:type="dxa"/>
            <w:vAlign w:val="center"/>
          </w:tcPr>
          <w:p w:rsidR="00830BFB" w:rsidRDefault="004A02DA" w:rsidP="005C228E">
            <w:pPr>
              <w:pStyle w:val="NoSpacing"/>
            </w:pPr>
            <w:r>
              <w:t>Ammonia</w:t>
            </w:r>
          </w:p>
        </w:tc>
      </w:tr>
      <w:tr w:rsidR="00830BFB" w:rsidRPr="00656E7A" w:rsidTr="004863E6">
        <w:tc>
          <w:tcPr>
            <w:tcW w:w="1101" w:type="dxa"/>
            <w:vAlign w:val="center"/>
          </w:tcPr>
          <w:p w:rsidR="00830BFB" w:rsidRDefault="00830BFB" w:rsidP="005C228E">
            <w:pPr>
              <w:pStyle w:val="NoSpacing"/>
            </w:pPr>
            <w:r>
              <w:t>NMVOC</w:t>
            </w:r>
          </w:p>
        </w:tc>
        <w:tc>
          <w:tcPr>
            <w:tcW w:w="8307" w:type="dxa"/>
            <w:vAlign w:val="center"/>
          </w:tcPr>
          <w:p w:rsidR="00830BFB" w:rsidRPr="00FD01B1" w:rsidRDefault="00510C6A" w:rsidP="00DF581B">
            <w:pPr>
              <w:pStyle w:val="NoSpacing"/>
              <w:rPr>
                <w:lang w:val="it-IT"/>
              </w:rPr>
            </w:pPr>
            <w:r w:rsidRPr="00FD01B1">
              <w:rPr>
                <w:lang w:val="it-IT"/>
              </w:rPr>
              <w:t>Non-</w:t>
            </w:r>
            <w:r w:rsidRPr="00A46AA0">
              <w:rPr>
                <w:lang w:val="it-IT"/>
              </w:rPr>
              <w:t>methane</w:t>
            </w:r>
            <w:r w:rsidRPr="00FD01B1">
              <w:rPr>
                <w:lang w:val="it-IT"/>
              </w:rPr>
              <w:t xml:space="preserve"> volatile organic compounds</w:t>
            </w:r>
          </w:p>
        </w:tc>
      </w:tr>
      <w:tr w:rsidR="007E1F57" w:rsidRPr="00656E7A" w:rsidTr="004863E6">
        <w:tc>
          <w:tcPr>
            <w:tcW w:w="1101" w:type="dxa"/>
            <w:vAlign w:val="center"/>
          </w:tcPr>
          <w:p w:rsidR="007E1F57" w:rsidRDefault="007E1F57" w:rsidP="005C228E">
            <w:pPr>
              <w:pStyle w:val="NoSpacing"/>
            </w:pPr>
            <w:r>
              <w:t>NO</w:t>
            </w:r>
          </w:p>
        </w:tc>
        <w:tc>
          <w:tcPr>
            <w:tcW w:w="8307" w:type="dxa"/>
            <w:vAlign w:val="center"/>
          </w:tcPr>
          <w:p w:rsidR="007E1F57" w:rsidRPr="00FD01B1" w:rsidRDefault="007E1F57" w:rsidP="00DF581B">
            <w:pPr>
              <w:pStyle w:val="NoSpacing"/>
              <w:rPr>
                <w:lang w:val="it-IT"/>
              </w:rPr>
            </w:pPr>
            <w:r>
              <w:rPr>
                <w:lang w:val="it-IT"/>
              </w:rPr>
              <w:t>Not occuring</w:t>
            </w:r>
          </w:p>
        </w:tc>
      </w:tr>
      <w:tr w:rsidR="00830BFB" w:rsidTr="004863E6">
        <w:tc>
          <w:tcPr>
            <w:tcW w:w="1101" w:type="dxa"/>
            <w:vAlign w:val="center"/>
          </w:tcPr>
          <w:p w:rsidR="00830BFB" w:rsidRDefault="0057457C" w:rsidP="005C228E">
            <w:pPr>
              <w:pStyle w:val="NoSpacing"/>
            </w:pPr>
            <w:r w:rsidRPr="0057457C">
              <w:t>NO</w:t>
            </w:r>
            <w:r w:rsidRPr="0057457C">
              <w:rPr>
                <w:vertAlign w:val="subscript"/>
              </w:rPr>
              <w:t>X</w:t>
            </w:r>
          </w:p>
        </w:tc>
        <w:tc>
          <w:tcPr>
            <w:tcW w:w="8307" w:type="dxa"/>
            <w:vAlign w:val="center"/>
          </w:tcPr>
          <w:p w:rsidR="00830BFB" w:rsidRDefault="004A02DA" w:rsidP="005C228E">
            <w:pPr>
              <w:pStyle w:val="NoSpacing"/>
            </w:pPr>
            <w:r>
              <w:t>Nitrogen oxides</w:t>
            </w:r>
          </w:p>
        </w:tc>
      </w:tr>
      <w:tr w:rsidR="00830BFB" w:rsidTr="004863E6">
        <w:tc>
          <w:tcPr>
            <w:tcW w:w="1101" w:type="dxa"/>
            <w:vAlign w:val="center"/>
          </w:tcPr>
          <w:p w:rsidR="00830BFB" w:rsidRDefault="0057457C" w:rsidP="005C228E">
            <w:pPr>
              <w:pStyle w:val="NoSpacing"/>
            </w:pPr>
            <w:r w:rsidRPr="0057457C">
              <w:t>PM</w:t>
            </w:r>
            <w:r w:rsidRPr="0057457C">
              <w:rPr>
                <w:vertAlign w:val="subscript"/>
              </w:rPr>
              <w:t>2.5</w:t>
            </w:r>
          </w:p>
        </w:tc>
        <w:tc>
          <w:tcPr>
            <w:tcW w:w="8307" w:type="dxa"/>
            <w:vAlign w:val="center"/>
          </w:tcPr>
          <w:p w:rsidR="00830BFB" w:rsidRDefault="004A02DA" w:rsidP="005C228E">
            <w:pPr>
              <w:pStyle w:val="NoSpacing"/>
            </w:pPr>
            <w:r>
              <w:t xml:space="preserve">Particulate matter </w:t>
            </w:r>
            <w:r w:rsidR="00DF581B">
              <w:t>equal to</w:t>
            </w:r>
            <w:r w:rsidR="00A46AA0">
              <w:t xml:space="preserve"> </w:t>
            </w:r>
            <w:r w:rsidR="00DF581B">
              <w:t xml:space="preserve">or </w:t>
            </w:r>
            <w:r>
              <w:t>less than 2.5 micrometres in diameter</w:t>
            </w:r>
          </w:p>
        </w:tc>
      </w:tr>
      <w:tr w:rsidR="00830BFB" w:rsidTr="004863E6">
        <w:tc>
          <w:tcPr>
            <w:tcW w:w="1101" w:type="dxa"/>
            <w:vAlign w:val="center"/>
          </w:tcPr>
          <w:p w:rsidR="00830BFB" w:rsidRDefault="00830BFB" w:rsidP="005C228E">
            <w:pPr>
              <w:pStyle w:val="NoSpacing"/>
            </w:pPr>
            <w:r w:rsidRPr="005769E5">
              <w:t>QC</w:t>
            </w:r>
          </w:p>
        </w:tc>
        <w:tc>
          <w:tcPr>
            <w:tcW w:w="8307" w:type="dxa"/>
            <w:vAlign w:val="center"/>
          </w:tcPr>
          <w:p w:rsidR="00830BFB" w:rsidRDefault="004A02DA" w:rsidP="005C228E">
            <w:pPr>
              <w:pStyle w:val="NoSpacing"/>
            </w:pPr>
            <w:r>
              <w:t>Quality control</w:t>
            </w:r>
          </w:p>
        </w:tc>
      </w:tr>
      <w:tr w:rsidR="00830BFB" w:rsidTr="004863E6">
        <w:tc>
          <w:tcPr>
            <w:tcW w:w="1101" w:type="dxa"/>
            <w:vAlign w:val="center"/>
          </w:tcPr>
          <w:p w:rsidR="00830BFB" w:rsidRDefault="00830BFB" w:rsidP="005C228E">
            <w:pPr>
              <w:pStyle w:val="NoSpacing"/>
            </w:pPr>
            <w:r>
              <w:t>RE</w:t>
            </w:r>
          </w:p>
        </w:tc>
        <w:tc>
          <w:tcPr>
            <w:tcW w:w="8307" w:type="dxa"/>
            <w:vAlign w:val="center"/>
          </w:tcPr>
          <w:p w:rsidR="00830BFB" w:rsidRDefault="004A02DA" w:rsidP="005C228E">
            <w:pPr>
              <w:pStyle w:val="NoSpacing"/>
            </w:pPr>
            <w:r>
              <w:t>Revised estimate</w:t>
            </w:r>
          </w:p>
        </w:tc>
      </w:tr>
      <w:tr w:rsidR="00830BFB" w:rsidTr="004863E6">
        <w:tc>
          <w:tcPr>
            <w:tcW w:w="1101" w:type="dxa"/>
            <w:vAlign w:val="center"/>
          </w:tcPr>
          <w:p w:rsidR="00830BFB" w:rsidRDefault="0057457C" w:rsidP="005C228E">
            <w:pPr>
              <w:pStyle w:val="NoSpacing"/>
            </w:pPr>
            <w:r w:rsidRPr="0057457C">
              <w:t>SO</w:t>
            </w:r>
            <w:r w:rsidRPr="0057457C">
              <w:rPr>
                <w:vertAlign w:val="subscript"/>
              </w:rPr>
              <w:t>2</w:t>
            </w:r>
          </w:p>
        </w:tc>
        <w:tc>
          <w:tcPr>
            <w:tcW w:w="8307" w:type="dxa"/>
            <w:vAlign w:val="center"/>
          </w:tcPr>
          <w:p w:rsidR="00830BFB" w:rsidRDefault="004A02DA" w:rsidP="005C228E">
            <w:pPr>
              <w:pStyle w:val="NoSpacing"/>
            </w:pPr>
            <w:r>
              <w:t>Sulphur dioxide</w:t>
            </w:r>
          </w:p>
        </w:tc>
      </w:tr>
      <w:tr w:rsidR="00830BFB" w:rsidTr="004863E6">
        <w:tc>
          <w:tcPr>
            <w:tcW w:w="1101" w:type="dxa"/>
            <w:vAlign w:val="center"/>
          </w:tcPr>
          <w:p w:rsidR="00830BFB" w:rsidRDefault="0057457C" w:rsidP="005C228E">
            <w:pPr>
              <w:pStyle w:val="NoSpacing"/>
            </w:pPr>
            <w:r w:rsidRPr="0057457C">
              <w:t>SO</w:t>
            </w:r>
            <w:r w:rsidRPr="0057457C">
              <w:rPr>
                <w:vertAlign w:val="subscript"/>
              </w:rPr>
              <w:t>X</w:t>
            </w:r>
          </w:p>
        </w:tc>
        <w:tc>
          <w:tcPr>
            <w:tcW w:w="8307" w:type="dxa"/>
            <w:vAlign w:val="center"/>
          </w:tcPr>
          <w:p w:rsidR="00830BFB" w:rsidRDefault="004A02DA" w:rsidP="005C228E">
            <w:pPr>
              <w:pStyle w:val="NoSpacing"/>
            </w:pPr>
            <w:r>
              <w:t>Sulphur oxides</w:t>
            </w:r>
          </w:p>
        </w:tc>
      </w:tr>
      <w:tr w:rsidR="00830BFB" w:rsidTr="004863E6">
        <w:tc>
          <w:tcPr>
            <w:tcW w:w="1101" w:type="dxa"/>
            <w:vAlign w:val="center"/>
          </w:tcPr>
          <w:p w:rsidR="00830BFB" w:rsidRDefault="00830BFB" w:rsidP="005C228E">
            <w:pPr>
              <w:pStyle w:val="NoSpacing"/>
            </w:pPr>
            <w:r w:rsidRPr="005769E5">
              <w:t xml:space="preserve">TC </w:t>
            </w:r>
          </w:p>
        </w:tc>
        <w:tc>
          <w:tcPr>
            <w:tcW w:w="8307" w:type="dxa"/>
            <w:vAlign w:val="center"/>
          </w:tcPr>
          <w:p w:rsidR="00830BFB" w:rsidRDefault="004A02DA" w:rsidP="005C228E">
            <w:pPr>
              <w:pStyle w:val="NoSpacing"/>
            </w:pPr>
            <w:r>
              <w:t>Technical correction</w:t>
            </w:r>
          </w:p>
        </w:tc>
      </w:tr>
      <w:tr w:rsidR="00830BFB" w:rsidTr="004863E6">
        <w:tc>
          <w:tcPr>
            <w:tcW w:w="1101" w:type="dxa"/>
            <w:vAlign w:val="center"/>
          </w:tcPr>
          <w:p w:rsidR="00830BFB" w:rsidRDefault="00830BFB" w:rsidP="005C228E">
            <w:pPr>
              <w:pStyle w:val="NoSpacing"/>
            </w:pPr>
            <w:r w:rsidRPr="005769E5">
              <w:t>TER</w:t>
            </w:r>
            <w:r>
              <w:t>T</w:t>
            </w:r>
          </w:p>
        </w:tc>
        <w:tc>
          <w:tcPr>
            <w:tcW w:w="8307" w:type="dxa"/>
            <w:vAlign w:val="center"/>
          </w:tcPr>
          <w:p w:rsidR="00830BFB" w:rsidRDefault="004A02DA" w:rsidP="005C228E">
            <w:pPr>
              <w:pStyle w:val="NoSpacing"/>
            </w:pPr>
            <w:r>
              <w:t>Technical Expert Review Team</w:t>
            </w:r>
          </w:p>
        </w:tc>
      </w:tr>
      <w:tr w:rsidR="00830BFB" w:rsidTr="004863E6">
        <w:tc>
          <w:tcPr>
            <w:tcW w:w="1101" w:type="dxa"/>
            <w:vAlign w:val="center"/>
          </w:tcPr>
          <w:p w:rsidR="00830BFB" w:rsidRDefault="00830BFB" w:rsidP="005C228E">
            <w:pPr>
              <w:pStyle w:val="NoSpacing"/>
            </w:pPr>
            <w:r>
              <w:t>VOC</w:t>
            </w:r>
          </w:p>
        </w:tc>
        <w:tc>
          <w:tcPr>
            <w:tcW w:w="8307" w:type="dxa"/>
            <w:vAlign w:val="center"/>
          </w:tcPr>
          <w:p w:rsidR="00830BFB" w:rsidRDefault="004A02DA" w:rsidP="005C228E">
            <w:pPr>
              <w:pStyle w:val="NoSpacing"/>
            </w:pPr>
            <w:r>
              <w:t>Volatile organic compounds</w:t>
            </w:r>
          </w:p>
        </w:tc>
      </w:tr>
    </w:tbl>
    <w:p w:rsidR="00830BFB" w:rsidRDefault="00830BFB" w:rsidP="005C228E">
      <w:pPr>
        <w:pStyle w:val="NoSpacing"/>
      </w:pPr>
    </w:p>
    <w:p w:rsidR="00DC5D3F" w:rsidRDefault="00DC5D3F">
      <w:pPr>
        <w:rPr>
          <w:rFonts w:asciiTheme="majorHAnsi" w:eastAsiaTheme="majorEastAsia" w:hAnsiTheme="majorHAnsi" w:cstheme="majorBidi"/>
          <w:color w:val="2E74B5" w:themeColor="accent1" w:themeShade="BF"/>
          <w:sz w:val="32"/>
          <w:szCs w:val="32"/>
        </w:rPr>
      </w:pPr>
      <w:r>
        <w:br w:type="page"/>
      </w:r>
    </w:p>
    <w:p w:rsidR="00E257A4" w:rsidRDefault="00E257A4" w:rsidP="00421BDA">
      <w:pPr>
        <w:pStyle w:val="Heading1"/>
      </w:pPr>
      <w:bookmarkStart w:id="2" w:name="_Toc499631260"/>
      <w:r>
        <w:lastRenderedPageBreak/>
        <w:t>Introduction</w:t>
      </w:r>
      <w:bookmarkEnd w:id="2"/>
    </w:p>
    <w:p w:rsidR="00177D3E" w:rsidRDefault="008365C6" w:rsidP="00421BDA">
      <w:pPr>
        <w:pStyle w:val="StandardNum"/>
      </w:pPr>
      <w:r>
        <w:t>The r</w:t>
      </w:r>
      <w:r w:rsidR="008945B5" w:rsidRPr="00D74867">
        <w:t xml:space="preserve">eview of the air pollution emission data submitted by </w:t>
      </w:r>
      <w:r w:rsidR="008945B5">
        <w:t xml:space="preserve">Member States (MS) under the European Union’s </w:t>
      </w:r>
      <w:r w:rsidR="00B35F53" w:rsidRPr="00FC1F36">
        <w:t xml:space="preserve">Directive on the Reduction of National Emissions of Certain Atmospheric Pollutants </w:t>
      </w:r>
      <w:r w:rsidR="008945B5" w:rsidRPr="00CF729F">
        <w:t>(</w:t>
      </w:r>
      <w:r w:rsidR="008945B5" w:rsidRPr="004B35E5">
        <w:t>Directive (EU) 2016/2284</w:t>
      </w:r>
      <w:r w:rsidR="008945B5" w:rsidRPr="00CF729F">
        <w:t>)</w:t>
      </w:r>
      <w:r w:rsidR="008945B5">
        <w:t xml:space="preserve"> </w:t>
      </w:r>
      <w:r w:rsidR="00B35F53">
        <w:t xml:space="preserve">(hereafter the ‘NECD’) </w:t>
      </w:r>
      <w:r w:rsidR="008945B5">
        <w:t>is defined</w:t>
      </w:r>
      <w:r>
        <w:t xml:space="preserve"> </w:t>
      </w:r>
      <w:r w:rsidR="008945B5">
        <w:t>in</w:t>
      </w:r>
      <w:r>
        <w:t xml:space="preserve"> </w:t>
      </w:r>
      <w:r w:rsidR="00177D3E">
        <w:t>Article 10(3):</w:t>
      </w:r>
    </w:p>
    <w:p w:rsidR="00177D3E" w:rsidRPr="007E1F57" w:rsidRDefault="00177D3E" w:rsidP="00421BDA">
      <w:pPr>
        <w:ind w:left="284"/>
        <w:jc w:val="both"/>
        <w:rPr>
          <w:i/>
        </w:rPr>
      </w:pPr>
      <w:r w:rsidRPr="0040571B">
        <w:rPr>
          <w:i/>
        </w:rPr>
        <w:t>"</w:t>
      </w:r>
      <w:r w:rsidRPr="007E1F57">
        <w:rPr>
          <w:i/>
        </w:rPr>
        <w:t>The Commission, assisted by the European Environment Agency and in consultation with the Member States concerned, shall review the national emission inventory data in the first year of reporting and regularly thereafter. That review shall involve the following:</w:t>
      </w:r>
    </w:p>
    <w:p w:rsidR="00177D3E" w:rsidRPr="007E1F57" w:rsidRDefault="00177D3E" w:rsidP="00421BDA">
      <w:pPr>
        <w:ind w:left="284"/>
        <w:jc w:val="both"/>
        <w:rPr>
          <w:i/>
        </w:rPr>
      </w:pPr>
      <w:r w:rsidRPr="007E1F57">
        <w:rPr>
          <w:i/>
        </w:rPr>
        <w:t>(a) checks to verify the transparency, accuracy, consistency, comparability and completeness of information submitted;</w:t>
      </w:r>
    </w:p>
    <w:p w:rsidR="00177D3E" w:rsidRPr="007E1F57" w:rsidRDefault="00177D3E" w:rsidP="00421BDA">
      <w:pPr>
        <w:ind w:left="284"/>
        <w:jc w:val="both"/>
        <w:rPr>
          <w:i/>
        </w:rPr>
      </w:pPr>
      <w:r w:rsidRPr="007E1F57">
        <w:rPr>
          <w:i/>
        </w:rPr>
        <w:t>(b) checks to identify cases where inventory data is prepared in a manner which is inconsistent with the requirements set out under international law, in particular under the LRTAP Convention;</w:t>
      </w:r>
    </w:p>
    <w:p w:rsidR="00177D3E" w:rsidRPr="007E1F57" w:rsidRDefault="00177D3E" w:rsidP="00421BDA">
      <w:pPr>
        <w:ind w:left="284"/>
        <w:jc w:val="both"/>
        <w:rPr>
          <w:i/>
        </w:rPr>
      </w:pPr>
      <w:r w:rsidRPr="007E1F57">
        <w:rPr>
          <w:i/>
        </w:rPr>
        <w:t>(c) where appropriate, calculation of the resulting technical corrections necessary, in consultation with the Member State concerned.</w:t>
      </w:r>
    </w:p>
    <w:p w:rsidR="00177D3E" w:rsidRDefault="00177D3E" w:rsidP="00421BDA">
      <w:pPr>
        <w:pStyle w:val="StandardNum"/>
        <w:numPr>
          <w:ilvl w:val="0"/>
          <w:numId w:val="0"/>
        </w:numPr>
        <w:ind w:left="284"/>
      </w:pPr>
      <w:r w:rsidRPr="007E1F57">
        <w:rPr>
          <w:i/>
        </w:rPr>
        <w:t>Where the Member State concerned and the Commission are unable to reach an agreement on the necessity or on the content of the technical corrections pursuant to point (c), the Commission shall adopt a decision laying down the technical corrections to be applied by the Member State concerned</w:t>
      </w:r>
      <w:r>
        <w:t>.</w:t>
      </w:r>
      <w:r w:rsidR="005737FB">
        <w:t>”</w:t>
      </w:r>
    </w:p>
    <w:p w:rsidR="00800F2F" w:rsidRPr="00800F2F" w:rsidRDefault="00A67656" w:rsidP="001E7222">
      <w:pPr>
        <w:pStyle w:val="StandardNum"/>
      </w:pPr>
      <w:r w:rsidRPr="00360DBC">
        <w:t xml:space="preserve">The </w:t>
      </w:r>
      <w:r w:rsidR="00780422" w:rsidRPr="00360DBC">
        <w:t xml:space="preserve">2017 </w:t>
      </w:r>
      <w:r w:rsidRPr="00360DBC">
        <w:t>comprehensive</w:t>
      </w:r>
      <w:r>
        <w:t xml:space="preserve"> technical</w:t>
      </w:r>
      <w:r w:rsidRPr="00C90068">
        <w:t xml:space="preserve"> review of NECD inventories</w:t>
      </w:r>
      <w:r w:rsidR="00F42E21">
        <w:t xml:space="preserve"> was undertaken in accordance with the </w:t>
      </w:r>
      <w:r w:rsidRPr="00D739DC">
        <w:t>EU Air emission inventory review guidelines</w:t>
      </w:r>
      <w:r w:rsidR="001E7222">
        <w:t xml:space="preserve"> under </w:t>
      </w:r>
      <w:r w:rsidR="001E7222" w:rsidRPr="001E7222">
        <w:t xml:space="preserve">Service Contract: No </w:t>
      </w:r>
      <w:r w:rsidR="001E7222">
        <w:t>07.0201/2016/741511/SER/ENV.C.3</w:t>
      </w:r>
      <w:r>
        <w:t>.</w:t>
      </w:r>
      <w:r w:rsidR="00C7208B">
        <w:t xml:space="preserve"> </w:t>
      </w:r>
    </w:p>
    <w:p w:rsidR="009A532C" w:rsidRDefault="00D41214" w:rsidP="00421BDA">
      <w:pPr>
        <w:pStyle w:val="StandardNum"/>
      </w:pPr>
      <w:r w:rsidRPr="00360DBC">
        <w:t>The</w:t>
      </w:r>
      <w:r w:rsidR="00A3050E" w:rsidRPr="00360DBC">
        <w:t xml:space="preserve"> </w:t>
      </w:r>
      <w:r w:rsidR="004C4E9B" w:rsidRPr="00360DBC">
        <w:t>technical</w:t>
      </w:r>
      <w:r w:rsidR="00EC440C" w:rsidRPr="00360DBC">
        <w:t xml:space="preserve"> review was carried out </w:t>
      </w:r>
      <w:r w:rsidR="005737FB" w:rsidRPr="00360DBC">
        <w:t xml:space="preserve">with a focus on </w:t>
      </w:r>
      <w:r w:rsidR="00EC440C" w:rsidRPr="00360DBC">
        <w:t>the year</w:t>
      </w:r>
      <w:r w:rsidRPr="00360DBC">
        <w:t>s 20</w:t>
      </w:r>
      <w:r w:rsidR="004C4E9B" w:rsidRPr="00360DBC">
        <w:t>05,</w:t>
      </w:r>
      <w:r w:rsidR="00EC440C" w:rsidRPr="00360DBC">
        <w:t xml:space="preserve"> 201</w:t>
      </w:r>
      <w:r w:rsidR="004C4E9B" w:rsidRPr="00360DBC">
        <w:t xml:space="preserve">0 </w:t>
      </w:r>
      <w:r w:rsidR="00EC440C" w:rsidRPr="00360DBC">
        <w:t xml:space="preserve">and </w:t>
      </w:r>
      <w:r w:rsidR="004C4E9B" w:rsidRPr="00360DBC">
        <w:t xml:space="preserve">2015. </w:t>
      </w:r>
      <w:r w:rsidR="009C71BF" w:rsidRPr="00360DBC">
        <w:t xml:space="preserve">This report presents the findings </w:t>
      </w:r>
      <w:r w:rsidR="004C4E9B" w:rsidRPr="00360DBC">
        <w:t xml:space="preserve">of </w:t>
      </w:r>
      <w:r w:rsidR="0014045C" w:rsidRPr="00360DBC">
        <w:t>the</w:t>
      </w:r>
      <w:r w:rsidR="00C7208B" w:rsidRPr="00360DBC">
        <w:t xml:space="preserve"> </w:t>
      </w:r>
      <w:r w:rsidR="009B1B76" w:rsidRPr="00360DBC">
        <w:t>Technical Expert Review Team (</w:t>
      </w:r>
      <w:r w:rsidR="004C4E9B" w:rsidRPr="00360DBC">
        <w:t>TERT</w:t>
      </w:r>
      <w:r w:rsidR="009B1B76" w:rsidRPr="00360DBC">
        <w:t>)</w:t>
      </w:r>
      <w:r w:rsidR="004C4E9B" w:rsidRPr="00360DBC">
        <w:t xml:space="preserve"> on </w:t>
      </w:r>
      <w:r w:rsidR="00FB05D5" w:rsidRPr="00360DBC">
        <w:t xml:space="preserve">the </w:t>
      </w:r>
      <w:r w:rsidR="004C4E9B" w:rsidRPr="00360DBC">
        <w:t>NECD</w:t>
      </w:r>
      <w:r w:rsidR="009C71BF" w:rsidRPr="00360DBC">
        <w:t xml:space="preserve"> inventory</w:t>
      </w:r>
      <w:r w:rsidR="00C7208B" w:rsidRPr="00360DBC">
        <w:t xml:space="preserve"> </w:t>
      </w:r>
      <w:r w:rsidR="00A023E0" w:rsidRPr="00360DBC">
        <w:t>submitted by</w:t>
      </w:r>
      <w:r w:rsidR="00FB63F6" w:rsidRPr="00360DBC">
        <w:t xml:space="preserve"> </w:t>
      </w:r>
      <w:r w:rsidR="001D176A">
        <w:t>Austria</w:t>
      </w:r>
      <w:r w:rsidR="00FB63F6" w:rsidRPr="00360DBC">
        <w:t xml:space="preserve"> </w:t>
      </w:r>
      <w:r w:rsidR="00FB05D5" w:rsidRPr="00360DBC">
        <w:t>in</w:t>
      </w:r>
      <w:r w:rsidR="00FB05D5">
        <w:t xml:space="preserve"> 2017</w:t>
      </w:r>
      <w:r w:rsidR="00DA0D5E" w:rsidRPr="00800F2F">
        <w:t>.</w:t>
      </w:r>
    </w:p>
    <w:p w:rsidR="00780422" w:rsidRPr="00800F2F" w:rsidRDefault="00F42E21" w:rsidP="00635C20">
      <w:pPr>
        <w:pStyle w:val="StandardNum"/>
      </w:pPr>
      <w:r w:rsidRPr="0018116B">
        <w:t>In accordance with the requirements of the NECD</w:t>
      </w:r>
      <w:r w:rsidR="00AE76F8">
        <w:t xml:space="preserve"> (Article 5(8))</w:t>
      </w:r>
      <w:r w:rsidRPr="0018116B">
        <w:t xml:space="preserve">, </w:t>
      </w:r>
      <w:r w:rsidR="00780422" w:rsidRPr="0018116B">
        <w:t xml:space="preserve">adjustment applications </w:t>
      </w:r>
      <w:r w:rsidRPr="0018116B">
        <w:t xml:space="preserve">were reviewed using the </w:t>
      </w:r>
      <w:r w:rsidR="008945B5" w:rsidRPr="005C228E">
        <w:t>Technical Guidance for Parties Making Adjustment Applications and for the Expert Review</w:t>
      </w:r>
      <w:r w:rsidR="008945B5" w:rsidRPr="0018116B">
        <w:t xml:space="preserve"> </w:t>
      </w:r>
      <w:r w:rsidR="008945B5" w:rsidRPr="005C228E">
        <w:t>of Adjustment Applications</w:t>
      </w:r>
      <w:r w:rsidR="008945B5" w:rsidRPr="0018116B">
        <w:t xml:space="preserve"> (</w:t>
      </w:r>
      <w:hyperlink r:id="rId11" w:tgtFrame="_blank" w:tooltip="Initiates file download" w:history="1">
        <w:r w:rsidR="008945B5" w:rsidRPr="0018116B">
          <w:t>ECE/EB.Air/130</w:t>
        </w:r>
      </w:hyperlink>
      <w:r w:rsidR="008945B5">
        <w:t>)</w:t>
      </w:r>
      <w:r w:rsidR="008945B5">
        <w:rPr>
          <w:rStyle w:val="FootnoteReference"/>
        </w:rPr>
        <w:footnoteReference w:id="1"/>
      </w:r>
      <w:r w:rsidR="005737FB">
        <w:t>.</w:t>
      </w:r>
    </w:p>
    <w:p w:rsidR="009A532C" w:rsidRDefault="009A532C" w:rsidP="00421BDA">
      <w:pPr>
        <w:pStyle w:val="Heading1"/>
      </w:pPr>
      <w:bookmarkStart w:id="3" w:name="_Toc499631261"/>
      <w:r>
        <w:t>Objectives of the review</w:t>
      </w:r>
      <w:bookmarkEnd w:id="3"/>
    </w:p>
    <w:p w:rsidR="00DA0D5E" w:rsidRPr="00DA0D5E" w:rsidRDefault="005F0715" w:rsidP="00635C20">
      <w:pPr>
        <w:pStyle w:val="StandardNum"/>
      </w:pPr>
      <w:r w:rsidRPr="00C90068">
        <w:t xml:space="preserve">The primary objective of </w:t>
      </w:r>
      <w:r w:rsidR="00F42E21">
        <w:t>the</w:t>
      </w:r>
      <w:r w:rsidRPr="00C90068">
        <w:t xml:space="preserve"> comprehensive technical review of Member States</w:t>
      </w:r>
      <w:r w:rsidR="009B1B76">
        <w:t>’</w:t>
      </w:r>
      <w:r w:rsidRPr="00C90068">
        <w:t xml:space="preserve"> NECD inventories </w:t>
      </w:r>
      <w:r>
        <w:t xml:space="preserve">of the years 2005, 2010 and 2015 as reported in February 2017 </w:t>
      </w:r>
      <w:r w:rsidR="00B34B14">
        <w:t xml:space="preserve">(and updated before 15 March) </w:t>
      </w:r>
      <w:r w:rsidR="00FB05D5">
        <w:t xml:space="preserve">was </w:t>
      </w:r>
      <w:r w:rsidRPr="00C90068">
        <w:t>to ensure that the Commission has accurate, reliable and verified information on annual NECD emissions to determine compliance with the NECD targets</w:t>
      </w:r>
      <w:r>
        <w:t>.</w:t>
      </w:r>
    </w:p>
    <w:p w:rsidR="005F0715" w:rsidRDefault="005F0715" w:rsidP="00635C20">
      <w:pPr>
        <w:pStyle w:val="StandardNum"/>
      </w:pPr>
      <w:r w:rsidRPr="00C90068">
        <w:t xml:space="preserve">A secondary objective of </w:t>
      </w:r>
      <w:r>
        <w:t xml:space="preserve">the review </w:t>
      </w:r>
      <w:r w:rsidR="00FB05D5">
        <w:t>was</w:t>
      </w:r>
      <w:r w:rsidRPr="00C90068">
        <w:t xml:space="preserve"> to strengthen Member States’ capacity in managing NECD inventories efficiently and in delivering high quality</w:t>
      </w:r>
      <w:r w:rsidR="00800F2F">
        <w:t xml:space="preserve"> inventory data and </w:t>
      </w:r>
      <w:r w:rsidR="009B1B76">
        <w:t>I</w:t>
      </w:r>
      <w:r w:rsidR="00800F2F">
        <w:t xml:space="preserve">nformative </w:t>
      </w:r>
      <w:r w:rsidR="009B1B76">
        <w:t>I</w:t>
      </w:r>
      <w:r w:rsidR="00800F2F">
        <w:t xml:space="preserve">nventory </w:t>
      </w:r>
      <w:r w:rsidR="009B1B76">
        <w:t>R</w:t>
      </w:r>
      <w:r w:rsidR="00800F2F">
        <w:t>eports</w:t>
      </w:r>
      <w:r w:rsidR="00C7208B">
        <w:t xml:space="preserve"> </w:t>
      </w:r>
      <w:r w:rsidR="00800F2F">
        <w:t>(IIRs)</w:t>
      </w:r>
      <w:r w:rsidRPr="00C90068">
        <w:t xml:space="preserve"> to the</w:t>
      </w:r>
      <w:r>
        <w:t xml:space="preserve"> </w:t>
      </w:r>
      <w:r w:rsidRPr="00C90068">
        <w:t>European Commission</w:t>
      </w:r>
      <w:r w:rsidR="00800F2F">
        <w:t xml:space="preserve"> in due time</w:t>
      </w:r>
      <w:r w:rsidR="00A023E0">
        <w:t>.</w:t>
      </w:r>
      <w:r w:rsidR="008365C6">
        <w:t xml:space="preserve"> </w:t>
      </w:r>
    </w:p>
    <w:p w:rsidR="00FD01B1" w:rsidRPr="00FD01B1" w:rsidRDefault="00800F2F" w:rsidP="00FD01B1">
      <w:pPr>
        <w:pStyle w:val="StandardNum"/>
      </w:pPr>
      <w:r>
        <w:t>The review also</w:t>
      </w:r>
      <w:r w:rsidRPr="00C90068">
        <w:t xml:space="preserve"> </w:t>
      </w:r>
      <w:r w:rsidR="00F42E21">
        <w:t>sought</w:t>
      </w:r>
      <w:r w:rsidR="00A67656">
        <w:t xml:space="preserve"> </w:t>
      </w:r>
      <w:r w:rsidRPr="00C90068">
        <w:t xml:space="preserve">to harmonise </w:t>
      </w:r>
      <w:r w:rsidR="00A67656" w:rsidRPr="00C90068">
        <w:t>approach</w:t>
      </w:r>
      <w:r w:rsidR="008365C6">
        <w:t>es</w:t>
      </w:r>
      <w:r w:rsidR="00FB05D5">
        <w:t xml:space="preserve"> </w:t>
      </w:r>
      <w:r w:rsidR="008365C6">
        <w:t xml:space="preserve">used </w:t>
      </w:r>
      <w:r w:rsidRPr="00C90068">
        <w:t xml:space="preserve">in monitoring inventories reported under the NECD with </w:t>
      </w:r>
      <w:r w:rsidR="00300646">
        <w:t xml:space="preserve">reviews undertaken by </w:t>
      </w:r>
      <w:r w:rsidRPr="00C90068">
        <w:t xml:space="preserve">other </w:t>
      </w:r>
      <w:r w:rsidRPr="00797CD8">
        <w:t xml:space="preserve">organisations </w:t>
      </w:r>
      <w:r w:rsidR="00300646">
        <w:t xml:space="preserve">that have </w:t>
      </w:r>
      <w:r w:rsidRPr="00797CD8">
        <w:t>similar interests such as the</w:t>
      </w:r>
      <w:r w:rsidR="008365C6">
        <w:t xml:space="preserve"> </w:t>
      </w:r>
      <w:r w:rsidR="008365C6">
        <w:lastRenderedPageBreak/>
        <w:t>reviews under the</w:t>
      </w:r>
      <w:r w:rsidRPr="00797CD8">
        <w:t xml:space="preserve"> LRTAP Convention and the EU Greenhouse Gas Monitoring Mechanism (MMR)/United Nations Framework Convention on Climate Change (UNFCCC)</w:t>
      </w:r>
      <w:r w:rsidR="00360DBC">
        <w:t>.</w:t>
      </w:r>
    </w:p>
    <w:p w:rsidR="009A532C" w:rsidRDefault="009A532C" w:rsidP="00421BDA">
      <w:pPr>
        <w:pStyle w:val="Heading1"/>
      </w:pPr>
      <w:bookmarkStart w:id="4" w:name="_Toc499631262"/>
      <w:r>
        <w:t>Review approach</w:t>
      </w:r>
      <w:r w:rsidR="002750E2">
        <w:t>, team</w:t>
      </w:r>
      <w:r>
        <w:t xml:space="preserve"> and scope</w:t>
      </w:r>
      <w:bookmarkEnd w:id="4"/>
    </w:p>
    <w:p w:rsidR="009B1B76" w:rsidRDefault="00C7208B" w:rsidP="00635C20">
      <w:pPr>
        <w:pStyle w:val="StandardNum"/>
      </w:pPr>
      <w:r>
        <w:t xml:space="preserve"> </w:t>
      </w:r>
      <w:r w:rsidR="00780422" w:rsidRPr="00A023E0">
        <w:t xml:space="preserve">The 2017 comprehensive review of </w:t>
      </w:r>
      <w:r w:rsidR="00780422">
        <w:t xml:space="preserve">NECD </w:t>
      </w:r>
      <w:r w:rsidR="00780422" w:rsidRPr="00A023E0">
        <w:t>air pollutant</w:t>
      </w:r>
      <w:r>
        <w:t xml:space="preserve"> </w:t>
      </w:r>
      <w:r w:rsidR="00780422" w:rsidRPr="00A023E0">
        <w:t>inventor</w:t>
      </w:r>
      <w:r w:rsidR="00780422">
        <w:t xml:space="preserve">ies of EU </w:t>
      </w:r>
      <w:r w:rsidR="009B1B76">
        <w:t>Member States</w:t>
      </w:r>
      <w:r>
        <w:t xml:space="preserve"> </w:t>
      </w:r>
      <w:r w:rsidR="00780422" w:rsidRPr="00780422">
        <w:t>focus</w:t>
      </w:r>
      <w:r w:rsidR="00780422">
        <w:t>ed</w:t>
      </w:r>
      <w:r>
        <w:t xml:space="preserve"> </w:t>
      </w:r>
      <w:r w:rsidR="00780422" w:rsidRPr="00780422">
        <w:t xml:space="preserve">on </w:t>
      </w:r>
      <w:r w:rsidR="009B1B76">
        <w:t xml:space="preserve">the </w:t>
      </w:r>
      <w:r w:rsidR="00780422" w:rsidRPr="00780422">
        <w:t xml:space="preserve">years 2005, 2010 and 2015 and the pollutants </w:t>
      </w:r>
      <w:r w:rsidR="0057457C" w:rsidRPr="0057457C">
        <w:t>SO</w:t>
      </w:r>
      <w:r w:rsidR="0057457C" w:rsidRPr="0057457C">
        <w:rPr>
          <w:vertAlign w:val="subscript"/>
        </w:rPr>
        <w:t>X</w:t>
      </w:r>
      <w:r w:rsidR="00780422" w:rsidRPr="00780422">
        <w:t xml:space="preserve">, </w:t>
      </w:r>
      <w:r w:rsidR="0057457C" w:rsidRPr="0057457C">
        <w:t>NO</w:t>
      </w:r>
      <w:r w:rsidR="0057457C" w:rsidRPr="0057457C">
        <w:rPr>
          <w:vertAlign w:val="subscript"/>
        </w:rPr>
        <w:t>X</w:t>
      </w:r>
      <w:r w:rsidR="00780422" w:rsidRPr="00780422">
        <w:t xml:space="preserve">, NMVOC, </w:t>
      </w:r>
      <w:r w:rsidR="0057457C" w:rsidRPr="0057457C">
        <w:t>NH</w:t>
      </w:r>
      <w:r w:rsidR="0057457C" w:rsidRPr="0057457C">
        <w:rPr>
          <w:vertAlign w:val="subscript"/>
        </w:rPr>
        <w:t>3</w:t>
      </w:r>
      <w:r w:rsidR="007944DE" w:rsidRPr="00780422">
        <w:t xml:space="preserve"> </w:t>
      </w:r>
      <w:r w:rsidR="00780422" w:rsidRPr="00780422">
        <w:t xml:space="preserve">and </w:t>
      </w:r>
      <w:r w:rsidR="0057457C" w:rsidRPr="0057457C">
        <w:t>PM</w:t>
      </w:r>
      <w:r w:rsidR="0057457C" w:rsidRPr="0057457C">
        <w:rPr>
          <w:vertAlign w:val="subscript"/>
        </w:rPr>
        <w:t>2.5</w:t>
      </w:r>
      <w:r w:rsidR="00780422" w:rsidRPr="00780422">
        <w:t xml:space="preserve">. </w:t>
      </w:r>
      <w:r w:rsidR="001E7222">
        <w:t>The</w:t>
      </w:r>
      <w:r w:rsidR="00BF518A">
        <w:t xml:space="preserve"> </w:t>
      </w:r>
      <w:r w:rsidR="00780422">
        <w:t>TERT</w:t>
      </w:r>
      <w:r w:rsidR="00BF518A">
        <w:t xml:space="preserve"> </w:t>
      </w:r>
      <w:r w:rsidR="00780422" w:rsidRPr="00780422">
        <w:t>assess</w:t>
      </w:r>
      <w:r w:rsidR="009B1B76">
        <w:t>ed the</w:t>
      </w:r>
      <w:r w:rsidR="00780422" w:rsidRPr="00780422">
        <w:t xml:space="preserve"> completeness (potential underestimations), accuracy (over- or underestimations), recalculations, consistency of time series and </w:t>
      </w:r>
      <w:r w:rsidR="009B1B76">
        <w:t>comparability</w:t>
      </w:r>
      <w:r w:rsidR="009B1B76" w:rsidRPr="00780422">
        <w:t xml:space="preserve"> </w:t>
      </w:r>
      <w:r w:rsidR="00780422" w:rsidRPr="00780422">
        <w:t xml:space="preserve">across the </w:t>
      </w:r>
      <w:r w:rsidR="009B1B76">
        <w:t>Member States</w:t>
      </w:r>
      <w:r w:rsidR="00780422" w:rsidRPr="00780422">
        <w:t>. Furthermore</w:t>
      </w:r>
      <w:r w:rsidR="009B1B76">
        <w:t>,</w:t>
      </w:r>
      <w:r w:rsidR="00780422" w:rsidRPr="00780422">
        <w:t xml:space="preserve"> </w:t>
      </w:r>
      <w:r w:rsidR="009B1B76">
        <w:t xml:space="preserve">the </w:t>
      </w:r>
      <w:r w:rsidR="00780422">
        <w:t xml:space="preserve">TERT </w:t>
      </w:r>
      <w:r w:rsidR="00780422" w:rsidRPr="00780422">
        <w:t>check</w:t>
      </w:r>
      <w:r w:rsidR="00780422">
        <w:t>ed</w:t>
      </w:r>
      <w:r w:rsidR="00780422" w:rsidRPr="00780422">
        <w:t xml:space="preserve"> if </w:t>
      </w:r>
      <w:r w:rsidR="009B1B76">
        <w:t>Member States</w:t>
      </w:r>
      <w:r w:rsidR="009B1B76" w:rsidRPr="00780422">
        <w:t xml:space="preserve"> </w:t>
      </w:r>
      <w:r w:rsidR="00780422" w:rsidRPr="00780422">
        <w:t>use</w:t>
      </w:r>
      <w:r w:rsidR="009B1B76">
        <w:t>d</w:t>
      </w:r>
      <w:r w:rsidR="00780422" w:rsidRPr="00780422">
        <w:t xml:space="preserve"> methodologies and emission factors consistent with the </w:t>
      </w:r>
      <w:r w:rsidR="002F458D">
        <w:t xml:space="preserve">2016 </w:t>
      </w:r>
      <w:r w:rsidR="00780422" w:rsidRPr="00780422">
        <w:t xml:space="preserve">EMEP/EEA Inventory </w:t>
      </w:r>
      <w:r w:rsidR="009B1B76">
        <w:t>G</w:t>
      </w:r>
      <w:r w:rsidR="00780422" w:rsidRPr="00780422">
        <w:t>uidebook.</w:t>
      </w:r>
    </w:p>
    <w:p w:rsidR="002750E2" w:rsidRPr="0030380D" w:rsidRDefault="00D47018" w:rsidP="0030380D">
      <w:pPr>
        <w:pStyle w:val="StandardNum"/>
        <w:rPr>
          <w:lang w:val="en-US"/>
        </w:rPr>
      </w:pPr>
      <w:r w:rsidRPr="00D47018">
        <w:t>The 2017 NECD Comprehensive Review consisted of a Comprehensive Desk Review and Centralised Review, which were performed by the TERT under service contract No 07.0201/2016/741511/SER/ENV.C.3 of the Directorate General Environment of the European Commission.</w:t>
      </w:r>
      <w:r w:rsidR="0030380D">
        <w:rPr>
          <w:lang w:val="en-US"/>
        </w:rPr>
        <w:t xml:space="preserve"> </w:t>
      </w:r>
      <w:r w:rsidR="00EC5C21" w:rsidRPr="0030380D">
        <w:rPr>
          <w:lang w:val="en-US"/>
        </w:rPr>
        <w:t xml:space="preserve">The </w:t>
      </w:r>
      <w:r w:rsidR="00334D36" w:rsidRPr="0030380D">
        <w:rPr>
          <w:lang w:val="en-US"/>
        </w:rPr>
        <w:t>TERT</w:t>
      </w:r>
      <w:r w:rsidR="001E7222" w:rsidRPr="0030380D">
        <w:rPr>
          <w:lang w:val="en-US"/>
        </w:rPr>
        <w:t>s</w:t>
      </w:r>
      <w:r w:rsidR="00334D36" w:rsidRPr="0030380D">
        <w:rPr>
          <w:lang w:val="en-US"/>
        </w:rPr>
        <w:t xml:space="preserve"> consisted of </w:t>
      </w:r>
      <w:r w:rsidR="00EC5C21" w:rsidRPr="0030380D">
        <w:rPr>
          <w:lang w:val="en-US"/>
        </w:rPr>
        <w:t>the following experts:</w:t>
      </w:r>
    </w:p>
    <w:p w:rsidR="00F044C0" w:rsidRPr="00DA3E5A" w:rsidRDefault="00F044C0" w:rsidP="00277603">
      <w:pPr>
        <w:pStyle w:val="ListParagraph"/>
        <w:numPr>
          <w:ilvl w:val="0"/>
          <w:numId w:val="9"/>
        </w:numPr>
        <w:rPr>
          <w:lang w:val="en-US"/>
        </w:rPr>
      </w:pPr>
      <w:r w:rsidRPr="007E1F57">
        <w:rPr>
          <w:lang w:val="en-US"/>
        </w:rPr>
        <w:t>Lead Reviewers</w:t>
      </w:r>
      <w:r w:rsidRPr="00DA3E5A">
        <w:rPr>
          <w:lang w:val="en-US"/>
        </w:rPr>
        <w:t>: Justin Goodwin, Kevin Hausmann, Ole-Kenneth Nielsen and Kristina Saarinen</w:t>
      </w:r>
    </w:p>
    <w:p w:rsidR="00F044C0" w:rsidRDefault="00F044C0" w:rsidP="00277603">
      <w:pPr>
        <w:pStyle w:val="ListParagraph"/>
        <w:numPr>
          <w:ilvl w:val="0"/>
          <w:numId w:val="9"/>
        </w:numPr>
        <w:rPr>
          <w:lang w:val="en-US"/>
        </w:rPr>
      </w:pPr>
      <w:r>
        <w:rPr>
          <w:lang w:val="en-US"/>
        </w:rPr>
        <w:t xml:space="preserve">NFR categories </w:t>
      </w:r>
      <w:r w:rsidRPr="00F044C0">
        <w:rPr>
          <w:lang w:val="en-US"/>
        </w:rPr>
        <w:t>1A1, 1A2, 1A4</w:t>
      </w:r>
      <w:r w:rsidR="0095343F">
        <w:rPr>
          <w:lang w:val="en-US"/>
        </w:rPr>
        <w:t>ai, 1A4bi, 1A4ci</w:t>
      </w:r>
      <w:r>
        <w:rPr>
          <w:lang w:val="en-US"/>
        </w:rPr>
        <w:t xml:space="preserve"> (</w:t>
      </w:r>
      <w:r w:rsidRPr="00F044C0">
        <w:rPr>
          <w:lang w:val="en-US"/>
        </w:rPr>
        <w:t>stationary combustion</w:t>
      </w:r>
      <w:r>
        <w:rPr>
          <w:lang w:val="en-US"/>
        </w:rPr>
        <w:t xml:space="preserve">): </w:t>
      </w:r>
      <w:r w:rsidRPr="00F044C0">
        <w:rPr>
          <w:lang w:val="en-US"/>
        </w:rPr>
        <w:t>Rian</w:t>
      </w:r>
      <w:r w:rsidR="001F4C43">
        <w:rPr>
          <w:lang w:val="en-US"/>
        </w:rPr>
        <w:t>n</w:t>
      </w:r>
      <w:r w:rsidRPr="00F044C0">
        <w:rPr>
          <w:lang w:val="en-US"/>
        </w:rPr>
        <w:t xml:space="preserve">e </w:t>
      </w:r>
      <w:r w:rsidR="007944DE" w:rsidRPr="00F044C0">
        <w:rPr>
          <w:lang w:val="en-US"/>
        </w:rPr>
        <w:t>Dr</w:t>
      </w:r>
      <w:r w:rsidR="007944DE">
        <w:rPr>
          <w:lang w:val="en-US"/>
        </w:rPr>
        <w:t>ö</w:t>
      </w:r>
      <w:r w:rsidR="007944DE" w:rsidRPr="00F044C0">
        <w:rPr>
          <w:lang w:val="en-US"/>
        </w:rPr>
        <w:t>ge</w:t>
      </w:r>
      <w:r w:rsidRPr="00F044C0">
        <w:rPr>
          <w:lang w:val="en-US"/>
        </w:rPr>
        <w:t>, Laetitia Nicco, Stephan Poupa and Laetitia Serveau</w:t>
      </w:r>
      <w:r>
        <w:rPr>
          <w:lang w:val="en-US"/>
        </w:rPr>
        <w:t>;</w:t>
      </w:r>
    </w:p>
    <w:p w:rsidR="00F044C0" w:rsidRDefault="00F044C0" w:rsidP="00277603">
      <w:pPr>
        <w:pStyle w:val="ListParagraph"/>
        <w:numPr>
          <w:ilvl w:val="0"/>
          <w:numId w:val="9"/>
        </w:numPr>
        <w:rPr>
          <w:lang w:val="en-US"/>
        </w:rPr>
      </w:pPr>
      <w:r w:rsidRPr="007E5D9D">
        <w:rPr>
          <w:lang w:val="en-US"/>
        </w:rPr>
        <w:t>NFR categories 1A3</w:t>
      </w:r>
      <w:r w:rsidR="0095343F">
        <w:rPr>
          <w:lang w:val="en-US"/>
        </w:rPr>
        <w:t>bi to 1A3bvii</w:t>
      </w:r>
      <w:r>
        <w:rPr>
          <w:lang w:val="en-US"/>
        </w:rPr>
        <w:t xml:space="preserve"> (</w:t>
      </w:r>
      <w:r w:rsidR="0095343F">
        <w:rPr>
          <w:lang w:val="en-US"/>
        </w:rPr>
        <w:t xml:space="preserve">road </w:t>
      </w:r>
      <w:r w:rsidRPr="007E5D9D">
        <w:rPr>
          <w:lang w:val="en-US"/>
        </w:rPr>
        <w:t>transport</w:t>
      </w:r>
      <w:r>
        <w:rPr>
          <w:lang w:val="en-US"/>
        </w:rPr>
        <w:t xml:space="preserve">): </w:t>
      </w:r>
      <w:r w:rsidRPr="007E5D9D">
        <w:rPr>
          <w:lang w:val="en-US"/>
        </w:rPr>
        <w:t>Jean Marc Andr</w:t>
      </w:r>
      <w:r w:rsidR="000C0271">
        <w:rPr>
          <w:lang w:val="en-US"/>
        </w:rPr>
        <w:t>é</w:t>
      </w:r>
      <w:r w:rsidRPr="007E5D9D">
        <w:rPr>
          <w:lang w:val="en-US"/>
        </w:rPr>
        <w:t>, Giorgos Me</w:t>
      </w:r>
      <w:r w:rsidR="007944DE">
        <w:rPr>
          <w:lang w:val="en-US"/>
        </w:rPr>
        <w:t>l</w:t>
      </w:r>
      <w:r w:rsidRPr="007E5D9D">
        <w:rPr>
          <w:lang w:val="en-US"/>
        </w:rPr>
        <w:t>lios, Tim Murrel</w:t>
      </w:r>
      <w:r w:rsidR="00300646">
        <w:rPr>
          <w:lang w:val="en-US"/>
        </w:rPr>
        <w:t>l</w:t>
      </w:r>
      <w:r w:rsidRPr="007E5D9D">
        <w:rPr>
          <w:lang w:val="en-US"/>
        </w:rPr>
        <w:t>s and Yvonne Pang</w:t>
      </w:r>
      <w:r>
        <w:rPr>
          <w:lang w:val="en-US"/>
        </w:rPr>
        <w:t>;</w:t>
      </w:r>
    </w:p>
    <w:p w:rsidR="00F044C0" w:rsidRDefault="00F044C0" w:rsidP="00277603">
      <w:pPr>
        <w:pStyle w:val="ListParagraph"/>
        <w:numPr>
          <w:ilvl w:val="0"/>
          <w:numId w:val="9"/>
        </w:numPr>
        <w:rPr>
          <w:lang w:val="en-US"/>
        </w:rPr>
      </w:pPr>
      <w:r>
        <w:rPr>
          <w:lang w:val="en-US"/>
        </w:rPr>
        <w:t xml:space="preserve">NRF categories </w:t>
      </w:r>
      <w:r w:rsidRPr="007E5D9D">
        <w:rPr>
          <w:lang w:val="en-US"/>
        </w:rPr>
        <w:t xml:space="preserve">1A2gvii, </w:t>
      </w:r>
      <w:r w:rsidR="00F706BE">
        <w:rPr>
          <w:lang w:val="en-US"/>
        </w:rPr>
        <w:t xml:space="preserve">1A3a, </w:t>
      </w:r>
      <w:r w:rsidRPr="007E5D9D">
        <w:rPr>
          <w:lang w:val="en-US"/>
        </w:rPr>
        <w:t>1A3c,</w:t>
      </w:r>
      <w:r w:rsidR="0095343F">
        <w:rPr>
          <w:lang w:val="en-US"/>
        </w:rPr>
        <w:t xml:space="preserve"> 1A3d,</w:t>
      </w:r>
      <w:r w:rsidRPr="007E5D9D">
        <w:rPr>
          <w:lang w:val="en-US"/>
        </w:rPr>
        <w:t xml:space="preserve"> 1A3e,1A4</w:t>
      </w:r>
      <w:r w:rsidR="0095343F">
        <w:rPr>
          <w:lang w:val="en-US"/>
        </w:rPr>
        <w:t>aii</w:t>
      </w:r>
      <w:r w:rsidRPr="007E5D9D">
        <w:rPr>
          <w:lang w:val="en-US"/>
        </w:rPr>
        <w:t xml:space="preserve">, </w:t>
      </w:r>
      <w:r w:rsidR="0095343F">
        <w:rPr>
          <w:lang w:val="en-US"/>
        </w:rPr>
        <w:t xml:space="preserve">1A4bii, 1A4cii, 1A4ciii, </w:t>
      </w:r>
      <w:r w:rsidRPr="007E5D9D">
        <w:rPr>
          <w:lang w:val="en-US"/>
        </w:rPr>
        <w:t>1A5</w:t>
      </w:r>
      <w:r w:rsidR="0095343F">
        <w:rPr>
          <w:lang w:val="en-US"/>
        </w:rPr>
        <w:t>b</w:t>
      </w:r>
      <w:r>
        <w:rPr>
          <w:lang w:val="en-US"/>
        </w:rPr>
        <w:t xml:space="preserve"> (</w:t>
      </w:r>
      <w:r w:rsidR="0095343F">
        <w:rPr>
          <w:lang w:val="en-US"/>
        </w:rPr>
        <w:t xml:space="preserve">non-road transport including international aviation and navigation, </w:t>
      </w:r>
      <w:r>
        <w:rPr>
          <w:lang w:val="en-US"/>
        </w:rPr>
        <w:t>n</w:t>
      </w:r>
      <w:r w:rsidRPr="007E5D9D">
        <w:rPr>
          <w:lang w:val="en-US"/>
        </w:rPr>
        <w:t>on-road mobile machinery</w:t>
      </w:r>
      <w:r>
        <w:rPr>
          <w:lang w:val="en-US"/>
        </w:rPr>
        <w:t xml:space="preserve">): </w:t>
      </w:r>
      <w:r w:rsidRPr="007E5D9D">
        <w:rPr>
          <w:lang w:val="en-US"/>
        </w:rPr>
        <w:t>Melanie Hobson</w:t>
      </w:r>
      <w:r>
        <w:rPr>
          <w:lang w:val="en-US"/>
        </w:rPr>
        <w:t xml:space="preserve"> and</w:t>
      </w:r>
      <w:r w:rsidRPr="007E5D9D">
        <w:rPr>
          <w:lang w:val="en-US"/>
        </w:rPr>
        <w:t xml:space="preserve"> Michael Kotzulla</w:t>
      </w:r>
      <w:r>
        <w:rPr>
          <w:lang w:val="en-US"/>
        </w:rPr>
        <w:t>;</w:t>
      </w:r>
    </w:p>
    <w:p w:rsidR="00F044C0" w:rsidRDefault="00F044C0" w:rsidP="00277603">
      <w:pPr>
        <w:pStyle w:val="ListParagraph"/>
        <w:numPr>
          <w:ilvl w:val="0"/>
          <w:numId w:val="9"/>
        </w:numPr>
        <w:rPr>
          <w:lang w:val="en-US"/>
        </w:rPr>
      </w:pPr>
      <w:r>
        <w:rPr>
          <w:lang w:val="en-US"/>
        </w:rPr>
        <w:t xml:space="preserve">NFR categories </w:t>
      </w:r>
      <w:r w:rsidRPr="007E5D9D">
        <w:rPr>
          <w:lang w:val="en-US"/>
        </w:rPr>
        <w:t>1B</w:t>
      </w:r>
      <w:r>
        <w:rPr>
          <w:lang w:val="en-US"/>
        </w:rPr>
        <w:t xml:space="preserve"> </w:t>
      </w:r>
      <w:r w:rsidR="007E1F57">
        <w:rPr>
          <w:lang w:val="en-US"/>
        </w:rPr>
        <w:t>(</w:t>
      </w:r>
      <w:r>
        <w:rPr>
          <w:lang w:val="en-US"/>
        </w:rPr>
        <w:t>Fugitive</w:t>
      </w:r>
      <w:r w:rsidR="007E1F57">
        <w:rPr>
          <w:lang w:val="en-US"/>
        </w:rPr>
        <w:t>)</w:t>
      </w:r>
      <w:r>
        <w:rPr>
          <w:lang w:val="en-US"/>
        </w:rPr>
        <w:t xml:space="preserve"> +</w:t>
      </w:r>
      <w:r w:rsidRPr="007E5D9D">
        <w:rPr>
          <w:lang w:val="en-US"/>
        </w:rPr>
        <w:t xml:space="preserve"> 2A </w:t>
      </w:r>
      <w:r w:rsidR="007E1F57">
        <w:rPr>
          <w:lang w:val="en-US"/>
        </w:rPr>
        <w:t>(</w:t>
      </w:r>
      <w:r w:rsidRPr="007E5D9D">
        <w:rPr>
          <w:lang w:val="en-US"/>
        </w:rPr>
        <w:t>Mineral Processes</w:t>
      </w:r>
      <w:r w:rsidR="007E1F57">
        <w:rPr>
          <w:lang w:val="en-US"/>
        </w:rPr>
        <w:t>)</w:t>
      </w:r>
      <w:r w:rsidRPr="007E5D9D">
        <w:rPr>
          <w:lang w:val="en-US"/>
        </w:rPr>
        <w:t xml:space="preserve">: </w:t>
      </w:r>
      <w:r w:rsidRPr="00C2254F">
        <w:rPr>
          <w:lang w:val="en-US"/>
        </w:rPr>
        <w:t xml:space="preserve">Alicia </w:t>
      </w:r>
      <w:r w:rsidR="001F64A8" w:rsidRPr="00C2254F">
        <w:rPr>
          <w:lang w:val="en-US"/>
        </w:rPr>
        <w:t>Gonzale</w:t>
      </w:r>
      <w:r w:rsidR="001F64A8">
        <w:rPr>
          <w:lang w:val="en-US"/>
        </w:rPr>
        <w:t>z</w:t>
      </w:r>
      <w:r w:rsidR="001F64A8" w:rsidRPr="00C2254F">
        <w:rPr>
          <w:lang w:val="en-US"/>
        </w:rPr>
        <w:t xml:space="preserve"> </w:t>
      </w:r>
      <w:r w:rsidRPr="00C2254F">
        <w:rPr>
          <w:lang w:val="en-US"/>
        </w:rPr>
        <w:t>and Jeroen Kuenen</w:t>
      </w:r>
      <w:r>
        <w:rPr>
          <w:lang w:val="en-US"/>
        </w:rPr>
        <w:t>;</w:t>
      </w:r>
    </w:p>
    <w:p w:rsidR="00F044C0" w:rsidRDefault="00F044C0" w:rsidP="00277603">
      <w:pPr>
        <w:pStyle w:val="ListParagraph"/>
        <w:numPr>
          <w:ilvl w:val="0"/>
          <w:numId w:val="9"/>
        </w:numPr>
        <w:rPr>
          <w:lang w:val="en-US"/>
        </w:rPr>
      </w:pPr>
      <w:r>
        <w:rPr>
          <w:lang w:val="en-US"/>
        </w:rPr>
        <w:t xml:space="preserve">NFR categories </w:t>
      </w:r>
      <w:r w:rsidRPr="007E5D9D">
        <w:rPr>
          <w:lang w:val="en-US"/>
        </w:rPr>
        <w:t>2B + 2C</w:t>
      </w:r>
      <w:r>
        <w:rPr>
          <w:lang w:val="en-US"/>
        </w:rPr>
        <w:t xml:space="preserve"> (</w:t>
      </w:r>
      <w:r w:rsidRPr="007E5D9D">
        <w:rPr>
          <w:lang w:val="en-US"/>
        </w:rPr>
        <w:t>other industrial processes): Katja Hjelgaard and Ils Moorkens</w:t>
      </w:r>
      <w:r>
        <w:rPr>
          <w:lang w:val="en-US"/>
        </w:rPr>
        <w:t>;</w:t>
      </w:r>
    </w:p>
    <w:p w:rsidR="00F044C0" w:rsidRDefault="00F044C0" w:rsidP="00277603">
      <w:pPr>
        <w:pStyle w:val="ListParagraph"/>
        <w:numPr>
          <w:ilvl w:val="0"/>
          <w:numId w:val="9"/>
        </w:numPr>
        <w:rPr>
          <w:lang w:val="en-US"/>
        </w:rPr>
      </w:pPr>
      <w:r>
        <w:rPr>
          <w:lang w:val="en-US"/>
        </w:rPr>
        <w:t xml:space="preserve">NFR categories </w:t>
      </w:r>
      <w:r w:rsidRPr="007E5D9D">
        <w:rPr>
          <w:lang w:val="en-US"/>
        </w:rPr>
        <w:t>2D, 2G</w:t>
      </w:r>
      <w:r>
        <w:rPr>
          <w:lang w:val="en-US"/>
        </w:rPr>
        <w:t xml:space="preserve"> </w:t>
      </w:r>
      <w:r w:rsidRPr="007E5D9D">
        <w:rPr>
          <w:lang w:val="en-US"/>
        </w:rPr>
        <w:t>-</w:t>
      </w:r>
      <w:r>
        <w:rPr>
          <w:lang w:val="en-US"/>
        </w:rPr>
        <w:t xml:space="preserve"> </w:t>
      </w:r>
      <w:r w:rsidRPr="007E5D9D">
        <w:rPr>
          <w:lang w:val="en-US"/>
        </w:rPr>
        <w:t>2L</w:t>
      </w:r>
      <w:r>
        <w:rPr>
          <w:lang w:val="en-US"/>
        </w:rPr>
        <w:t xml:space="preserve"> (s</w:t>
      </w:r>
      <w:r w:rsidRPr="007E5D9D">
        <w:rPr>
          <w:lang w:val="en-US"/>
        </w:rPr>
        <w:t>olvent and other product use</w:t>
      </w:r>
      <w:r>
        <w:rPr>
          <w:lang w:val="en-US"/>
        </w:rPr>
        <w:t xml:space="preserve">): </w:t>
      </w:r>
      <w:r w:rsidR="00BF518A">
        <w:rPr>
          <w:lang w:val="en-US"/>
        </w:rPr>
        <w:t>Patrik Fauser</w:t>
      </w:r>
      <w:r w:rsidRPr="007E5D9D">
        <w:rPr>
          <w:lang w:val="en-US"/>
        </w:rPr>
        <w:t xml:space="preserve"> and Ardi Link</w:t>
      </w:r>
      <w:r>
        <w:rPr>
          <w:lang w:val="en-US"/>
        </w:rPr>
        <w:t>;</w:t>
      </w:r>
    </w:p>
    <w:p w:rsidR="00F044C0" w:rsidRDefault="00F044C0" w:rsidP="00277603">
      <w:pPr>
        <w:pStyle w:val="ListParagraph"/>
        <w:numPr>
          <w:ilvl w:val="0"/>
          <w:numId w:val="9"/>
        </w:numPr>
        <w:rPr>
          <w:lang w:val="en-US"/>
        </w:rPr>
      </w:pPr>
      <w:r>
        <w:rPr>
          <w:lang w:val="en-US"/>
        </w:rPr>
        <w:t xml:space="preserve">NFR categories </w:t>
      </w:r>
      <w:r w:rsidRPr="007E5D9D">
        <w:rPr>
          <w:lang w:val="en-US"/>
        </w:rPr>
        <w:t xml:space="preserve">3B </w:t>
      </w:r>
      <w:r>
        <w:rPr>
          <w:lang w:val="en-US"/>
        </w:rPr>
        <w:t>-</w:t>
      </w:r>
      <w:r w:rsidRPr="007E5D9D">
        <w:rPr>
          <w:lang w:val="en-US"/>
        </w:rPr>
        <w:t xml:space="preserve"> 3I</w:t>
      </w:r>
      <w:r>
        <w:rPr>
          <w:lang w:val="en-US"/>
        </w:rPr>
        <w:t xml:space="preserve"> (</w:t>
      </w:r>
      <w:r w:rsidRPr="007E5D9D">
        <w:rPr>
          <w:lang w:val="en-US"/>
        </w:rPr>
        <w:t xml:space="preserve">Agriculture): Michael Anderl, </w:t>
      </w:r>
      <w:r w:rsidRPr="00C2254F">
        <w:rPr>
          <w:lang w:val="en-US"/>
        </w:rPr>
        <w:t>Mette Mik</w:t>
      </w:r>
      <w:r w:rsidR="001F64A8">
        <w:rPr>
          <w:lang w:val="en-US"/>
        </w:rPr>
        <w:t>k</w:t>
      </w:r>
      <w:r w:rsidRPr="00C2254F">
        <w:rPr>
          <w:lang w:val="en-US"/>
        </w:rPr>
        <w:t>elsen, Beatriz S</w:t>
      </w:r>
      <w:r w:rsidR="001F64A8">
        <w:rPr>
          <w:lang w:val="en-US"/>
        </w:rPr>
        <w:t>á</w:t>
      </w:r>
      <w:r w:rsidRPr="00C2254F">
        <w:rPr>
          <w:lang w:val="en-US"/>
        </w:rPr>
        <w:t>nchez and Jim Webb</w:t>
      </w:r>
      <w:r>
        <w:rPr>
          <w:lang w:val="en-US"/>
        </w:rPr>
        <w:t>;</w:t>
      </w:r>
    </w:p>
    <w:p w:rsidR="00F044C0" w:rsidRDefault="00F044C0" w:rsidP="00277603">
      <w:pPr>
        <w:pStyle w:val="ListParagraph"/>
        <w:numPr>
          <w:ilvl w:val="0"/>
          <w:numId w:val="9"/>
        </w:numPr>
        <w:rPr>
          <w:lang w:val="en-US"/>
        </w:rPr>
      </w:pPr>
      <w:r>
        <w:rPr>
          <w:lang w:val="en-US"/>
        </w:rPr>
        <w:t xml:space="preserve">NFR categories </w:t>
      </w:r>
      <w:r w:rsidRPr="007E5D9D">
        <w:rPr>
          <w:lang w:val="en-US"/>
        </w:rPr>
        <w:t xml:space="preserve">5A </w:t>
      </w:r>
      <w:r>
        <w:rPr>
          <w:lang w:val="en-US"/>
        </w:rPr>
        <w:t>-</w:t>
      </w:r>
      <w:r w:rsidRPr="007E5D9D">
        <w:rPr>
          <w:lang w:val="en-US"/>
        </w:rPr>
        <w:t xml:space="preserve"> 5E (Waste</w:t>
      </w:r>
      <w:r>
        <w:rPr>
          <w:lang w:val="en-US"/>
        </w:rPr>
        <w:t xml:space="preserve">): </w:t>
      </w:r>
      <w:r w:rsidRPr="007E5D9D">
        <w:rPr>
          <w:lang w:val="en-US"/>
        </w:rPr>
        <w:t>Céline Gueguen and Intars Cakars</w:t>
      </w:r>
      <w:r>
        <w:rPr>
          <w:lang w:val="en-US"/>
        </w:rPr>
        <w:t>.</w:t>
      </w:r>
    </w:p>
    <w:p w:rsidR="00334D36" w:rsidRPr="005C228E" w:rsidRDefault="00EC5C21" w:rsidP="00635C20">
      <w:pPr>
        <w:pStyle w:val="StandardNum"/>
      </w:pPr>
      <w:r w:rsidRPr="005C228E">
        <w:t xml:space="preserve">The </w:t>
      </w:r>
      <w:r w:rsidR="00EB16BC" w:rsidRPr="005C228E">
        <w:t xml:space="preserve">Comprehensive Desk Review and Centralised Review </w:t>
      </w:r>
      <w:r w:rsidRPr="005C228E">
        <w:t xml:space="preserve">was coordinated by </w:t>
      </w:r>
      <w:r w:rsidR="007E1F57">
        <w:t xml:space="preserve">the </w:t>
      </w:r>
      <w:r w:rsidR="00635C20">
        <w:t>project team (</w:t>
      </w:r>
      <w:r w:rsidR="00A023E0" w:rsidRPr="005C228E">
        <w:t>Katarina Mareckova</w:t>
      </w:r>
      <w:r w:rsidR="001E414D" w:rsidRPr="005C228E">
        <w:t>, Sabine Schindlbacher</w:t>
      </w:r>
      <w:r w:rsidR="00EB16BC" w:rsidRPr="005C228E">
        <w:t xml:space="preserve">, </w:t>
      </w:r>
      <w:r w:rsidR="001E414D" w:rsidRPr="005C228E">
        <w:t>Chris Dore</w:t>
      </w:r>
      <w:r w:rsidR="00EB16BC" w:rsidRPr="005C228E">
        <w:t xml:space="preserve"> and Emma Salisbury</w:t>
      </w:r>
      <w:r w:rsidR="00635C20">
        <w:t>)</w:t>
      </w:r>
      <w:r w:rsidR="00EB16BC" w:rsidRPr="005C228E">
        <w:t>.</w:t>
      </w:r>
    </w:p>
    <w:p w:rsidR="00EC5C21" w:rsidRPr="005C228E" w:rsidRDefault="00334D36" w:rsidP="00635C20">
      <w:pPr>
        <w:pStyle w:val="StandardNum"/>
      </w:pPr>
      <w:r w:rsidRPr="005C228E">
        <w:t xml:space="preserve">The </w:t>
      </w:r>
      <w:r w:rsidR="00EC5C21" w:rsidRPr="005C228E">
        <w:t xml:space="preserve">EEA </w:t>
      </w:r>
      <w:r w:rsidR="00EB16BC" w:rsidRPr="005C228E">
        <w:t>R</w:t>
      </w:r>
      <w:r w:rsidR="00EC5C21" w:rsidRPr="005C228E">
        <w:t xml:space="preserve">eview </w:t>
      </w:r>
      <w:r w:rsidR="00EB16BC" w:rsidRPr="005C228E">
        <w:t>S</w:t>
      </w:r>
      <w:r w:rsidR="00EC5C21" w:rsidRPr="005C228E">
        <w:t xml:space="preserve">ecretariat </w:t>
      </w:r>
      <w:r w:rsidRPr="005C228E">
        <w:t xml:space="preserve">consisting of </w:t>
      </w:r>
      <w:r w:rsidR="001E414D" w:rsidRPr="005C228E">
        <w:t>Anke Lükewille and</w:t>
      </w:r>
      <w:r w:rsidR="00C7208B" w:rsidRPr="005C228E">
        <w:t xml:space="preserve"> </w:t>
      </w:r>
      <w:r w:rsidR="001E414D" w:rsidRPr="005C228E">
        <w:t xml:space="preserve">Federico Antognazza </w:t>
      </w:r>
      <w:r w:rsidR="005A30AF" w:rsidRPr="005C228E">
        <w:t>supported</w:t>
      </w:r>
      <w:r w:rsidR="00C7208B" w:rsidRPr="005C228E">
        <w:t xml:space="preserve"> </w:t>
      </w:r>
      <w:r w:rsidRPr="005C228E">
        <w:t xml:space="preserve">the </w:t>
      </w:r>
      <w:r w:rsidR="005A30AF" w:rsidRPr="005C228E">
        <w:t xml:space="preserve">NECD 2017 </w:t>
      </w:r>
      <w:r w:rsidR="00F821CA" w:rsidRPr="005C228E">
        <w:t>C</w:t>
      </w:r>
      <w:r w:rsidRPr="005C228E">
        <w:t xml:space="preserve">omprehensive </w:t>
      </w:r>
      <w:r w:rsidR="00F821CA" w:rsidRPr="005C228E">
        <w:t>Technical R</w:t>
      </w:r>
      <w:r w:rsidRPr="005C228E">
        <w:t>eview</w:t>
      </w:r>
      <w:r w:rsidR="00F13775" w:rsidRPr="005C228E">
        <w:t>.</w:t>
      </w:r>
    </w:p>
    <w:p w:rsidR="006A4812" w:rsidRDefault="00EC5C21" w:rsidP="00635C20">
      <w:pPr>
        <w:pStyle w:val="StandardNum"/>
      </w:pPr>
      <w:r w:rsidRPr="00A023E0">
        <w:t xml:space="preserve">The review was performed on the basis of </w:t>
      </w:r>
      <w:r w:rsidR="00A023E0" w:rsidRPr="00A023E0">
        <w:t xml:space="preserve">NECD </w:t>
      </w:r>
      <w:r w:rsidRPr="00A023E0">
        <w:t xml:space="preserve">emission data and the </w:t>
      </w:r>
      <w:r w:rsidR="00F821CA">
        <w:t>I</w:t>
      </w:r>
      <w:r w:rsidR="00A023E0" w:rsidRPr="00A023E0">
        <w:t xml:space="preserve">nformative </w:t>
      </w:r>
      <w:r w:rsidR="00F821CA">
        <w:t>I</w:t>
      </w:r>
      <w:r w:rsidRPr="00A023E0">
        <w:t xml:space="preserve">nventory </w:t>
      </w:r>
      <w:r w:rsidR="00F821CA">
        <w:t>R</w:t>
      </w:r>
      <w:r w:rsidRPr="00A023E0">
        <w:t>eport</w:t>
      </w:r>
      <w:r w:rsidR="00A023E0" w:rsidRPr="00A023E0">
        <w:t>s</w:t>
      </w:r>
      <w:r w:rsidRPr="00A023E0">
        <w:t xml:space="preserve"> (</w:t>
      </w:r>
      <w:r w:rsidR="00A023E0" w:rsidRPr="00A023E0">
        <w:t>IIRs)</w:t>
      </w:r>
      <w:r w:rsidRPr="00A023E0">
        <w:t xml:space="preserve"> officially reported by Member States </w:t>
      </w:r>
      <w:r w:rsidR="005A30AF">
        <w:t xml:space="preserve">by </w:t>
      </w:r>
      <w:r w:rsidR="0014045C" w:rsidRPr="00A023E0">
        <w:t>1</w:t>
      </w:r>
      <w:r w:rsidR="00A023E0" w:rsidRPr="00A023E0">
        <w:t>5</w:t>
      </w:r>
      <w:r w:rsidR="005A30AF">
        <w:t xml:space="preserve"> February</w:t>
      </w:r>
      <w:r w:rsidR="00C7208B">
        <w:t xml:space="preserve"> </w:t>
      </w:r>
      <w:r w:rsidR="00F13775">
        <w:t xml:space="preserve">(IIRs by 15 March </w:t>
      </w:r>
      <w:r w:rsidR="00F13775" w:rsidRPr="00A023E0">
        <w:t>2017</w:t>
      </w:r>
      <w:r w:rsidR="00F13775">
        <w:t>)</w:t>
      </w:r>
      <w:r w:rsidR="00F13775" w:rsidRPr="00A023E0">
        <w:t xml:space="preserve"> </w:t>
      </w:r>
      <w:r w:rsidRPr="00A023E0">
        <w:t xml:space="preserve">under the </w:t>
      </w:r>
      <w:r w:rsidR="00A023E0">
        <w:t>NECD</w:t>
      </w:r>
      <w:r w:rsidRPr="00A023E0">
        <w:t>.</w:t>
      </w:r>
      <w:r w:rsidR="00C7208B">
        <w:t xml:space="preserve"> </w:t>
      </w:r>
      <w:r w:rsidR="005E063E" w:rsidRPr="00A023E0">
        <w:t>Resubmissions</w:t>
      </w:r>
      <w:r w:rsidR="005A30AF">
        <w:t xml:space="preserve"> </w:t>
      </w:r>
      <w:r w:rsidR="00F42E21">
        <w:t xml:space="preserve">and any other </w:t>
      </w:r>
      <w:r w:rsidR="005A30AF">
        <w:t>additional information</w:t>
      </w:r>
      <w:r w:rsidR="00C7208B">
        <w:t xml:space="preserve"> </w:t>
      </w:r>
      <w:r w:rsidR="005A30AF">
        <w:t>provided</w:t>
      </w:r>
      <w:r w:rsidR="00C7208B">
        <w:t xml:space="preserve"> </w:t>
      </w:r>
      <w:r w:rsidR="005E063E" w:rsidRPr="00A023E0">
        <w:t xml:space="preserve">by Member States were taken into account until </w:t>
      </w:r>
      <w:r w:rsidR="0095343F">
        <w:t>28</w:t>
      </w:r>
      <w:r w:rsidR="0095343F" w:rsidRPr="005C228E">
        <w:t xml:space="preserve"> </w:t>
      </w:r>
      <w:r w:rsidR="009352F7">
        <w:t>April</w:t>
      </w:r>
      <w:r w:rsidR="009352F7" w:rsidRPr="005C228E">
        <w:t xml:space="preserve"> </w:t>
      </w:r>
      <w:r w:rsidR="005E063E" w:rsidRPr="005C228E">
        <w:t>201</w:t>
      </w:r>
      <w:r w:rsidR="005A30AF" w:rsidRPr="005C228E">
        <w:t>7</w:t>
      </w:r>
      <w:r w:rsidR="005E063E" w:rsidRPr="005C228E">
        <w:t>.</w:t>
      </w:r>
      <w:r w:rsidR="005E063E">
        <w:t xml:space="preserve"> </w:t>
      </w:r>
    </w:p>
    <w:p w:rsidR="005A30AF" w:rsidRDefault="005A30AF" w:rsidP="00635C20">
      <w:pPr>
        <w:pStyle w:val="StandardNum"/>
      </w:pPr>
      <w:r w:rsidRPr="005A30AF">
        <w:t>The lead reviewers and sector review experts did not review emission inventories of Member States where these individuals have themselves contributed to the compilation of that inventory, or presently are or have been any part of the decision-making process related to the compilation of that inventory. Reviewers who are nationals of the Member State whose inventory is concerned, did not take part in the review of that inventory</w:t>
      </w:r>
      <w:r w:rsidR="00F821CA">
        <w:t>.</w:t>
      </w:r>
    </w:p>
    <w:p w:rsidR="001553E9" w:rsidRDefault="001E414D" w:rsidP="00635C20">
      <w:pPr>
        <w:pStyle w:val="StandardNum"/>
      </w:pPr>
      <w:r w:rsidRPr="001E414D">
        <w:t>All review experts</w:t>
      </w:r>
      <w:r w:rsidR="00C7208B">
        <w:t xml:space="preserve"> </w:t>
      </w:r>
      <w:r w:rsidRPr="001E414D">
        <w:t>sign</w:t>
      </w:r>
      <w:r>
        <w:t>ed</w:t>
      </w:r>
      <w:r w:rsidRPr="001E414D">
        <w:t xml:space="preserve"> confidentiality agreements in which they agree</w:t>
      </w:r>
      <w:r>
        <w:t>d</w:t>
      </w:r>
      <w:r w:rsidRPr="001E414D">
        <w:t xml:space="preserve"> to keep information received by Member States confidential.</w:t>
      </w:r>
    </w:p>
    <w:p w:rsidR="00B21DDF" w:rsidRPr="00B21DDF" w:rsidRDefault="0014045C" w:rsidP="0014045C">
      <w:pPr>
        <w:pStyle w:val="Caption"/>
        <w:rPr>
          <w:color w:val="auto"/>
        </w:rPr>
      </w:pPr>
      <w:bookmarkStart w:id="5" w:name="_Ref480922340"/>
      <w:bookmarkStart w:id="6" w:name="_Toc499631314"/>
      <w:r>
        <w:lastRenderedPageBreak/>
        <w:t xml:space="preserve">Table </w:t>
      </w:r>
      <w:r w:rsidR="00AE4156">
        <w:fldChar w:fldCharType="begin"/>
      </w:r>
      <w:r w:rsidR="001F4C43">
        <w:instrText xml:space="preserve"> SEQ Table \* ARABIC </w:instrText>
      </w:r>
      <w:r w:rsidR="00AE4156">
        <w:fldChar w:fldCharType="separate"/>
      </w:r>
      <w:r w:rsidR="00C07297">
        <w:rPr>
          <w:noProof/>
        </w:rPr>
        <w:t>1</w:t>
      </w:r>
      <w:r w:rsidR="00AE4156">
        <w:rPr>
          <w:noProof/>
        </w:rPr>
        <w:fldChar w:fldCharType="end"/>
      </w:r>
      <w:bookmarkEnd w:id="5"/>
      <w:r>
        <w:t xml:space="preserve">: Scope of the </w:t>
      </w:r>
      <w:r w:rsidR="006A2E8B">
        <w:t xml:space="preserve">comprehensive </w:t>
      </w:r>
      <w:r w:rsidR="002A43A2">
        <w:t xml:space="preserve">technical </w:t>
      </w:r>
      <w:r>
        <w:t xml:space="preserve">review </w:t>
      </w:r>
      <w:r w:rsidR="006A2E8B">
        <w:t xml:space="preserve">NECD </w:t>
      </w:r>
      <w:r w:rsidR="002A43A2">
        <w:t>2017</w:t>
      </w:r>
      <w:r w:rsidR="00426E63">
        <w:t xml:space="preserve"> (under </w:t>
      </w:r>
      <w:r w:rsidR="00426E63" w:rsidRPr="000973B0">
        <w:t>(EU) 2016/2284</w:t>
      </w:r>
      <w:r w:rsidR="00426E63">
        <w:rPr>
          <w:rStyle w:val="FootnoteReference"/>
        </w:rPr>
        <w:footnoteReference w:id="2"/>
      </w:r>
      <w:r w:rsidR="00426E63">
        <w: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1955"/>
        <w:gridCol w:w="5506"/>
      </w:tblGrid>
      <w:tr w:rsidR="00BE3B9F" w:rsidRPr="00E237E2" w:rsidTr="00E237E2">
        <w:trPr>
          <w:trHeight w:val="193"/>
        </w:trPr>
        <w:tc>
          <w:tcPr>
            <w:tcW w:w="1555" w:type="dxa"/>
            <w:shd w:val="clear" w:color="auto" w:fill="1F4E79" w:themeFill="accent1" w:themeFillShade="80"/>
            <w:vAlign w:val="center"/>
          </w:tcPr>
          <w:p w:rsidR="00BE3B9F" w:rsidRPr="00E237E2" w:rsidRDefault="00BE3B9F" w:rsidP="00421BDA">
            <w:pPr>
              <w:spacing w:before="60" w:after="60" w:line="480" w:lineRule="auto"/>
              <w:rPr>
                <w:rFonts w:eastAsia="Times New Roman" w:cstheme="minorHAnsi"/>
                <w:b/>
                <w:bCs/>
                <w:color w:val="FFFFFF" w:themeColor="background1"/>
                <w:sz w:val="20"/>
                <w:szCs w:val="20"/>
                <w:lang w:eastAsia="en-GB"/>
              </w:rPr>
            </w:pPr>
            <w:r w:rsidRPr="00E237E2">
              <w:rPr>
                <w:rFonts w:eastAsia="Times New Roman" w:cstheme="minorHAnsi"/>
                <w:b/>
                <w:bCs/>
                <w:color w:val="FFFFFF" w:themeColor="background1"/>
                <w:sz w:val="20"/>
                <w:szCs w:val="20"/>
                <w:lang w:eastAsia="en-GB"/>
              </w:rPr>
              <w:t>Element</w:t>
            </w:r>
          </w:p>
        </w:tc>
        <w:tc>
          <w:tcPr>
            <w:tcW w:w="1955" w:type="dxa"/>
            <w:shd w:val="clear" w:color="auto" w:fill="1F4E79" w:themeFill="accent1" w:themeFillShade="80"/>
            <w:vAlign w:val="center"/>
          </w:tcPr>
          <w:p w:rsidR="00BE3B9F" w:rsidRPr="00E237E2" w:rsidRDefault="00BE3B9F" w:rsidP="00421BDA">
            <w:pPr>
              <w:spacing w:before="60" w:after="60" w:line="480" w:lineRule="auto"/>
              <w:rPr>
                <w:rFonts w:eastAsia="Times New Roman" w:cstheme="minorHAnsi"/>
                <w:b/>
                <w:bCs/>
                <w:color w:val="FFFFFF" w:themeColor="background1"/>
                <w:sz w:val="20"/>
                <w:szCs w:val="20"/>
                <w:lang w:eastAsia="en-GB"/>
              </w:rPr>
            </w:pPr>
            <w:r w:rsidRPr="00E237E2">
              <w:rPr>
                <w:rFonts w:eastAsia="Times New Roman" w:cstheme="minorHAnsi"/>
                <w:b/>
                <w:bCs/>
                <w:color w:val="FFFFFF" w:themeColor="background1"/>
                <w:sz w:val="20"/>
                <w:szCs w:val="20"/>
                <w:lang w:eastAsia="en-GB"/>
              </w:rPr>
              <w:t>Scope</w:t>
            </w:r>
          </w:p>
        </w:tc>
        <w:tc>
          <w:tcPr>
            <w:tcW w:w="5506" w:type="dxa"/>
            <w:shd w:val="clear" w:color="auto" w:fill="1F4E79" w:themeFill="accent1" w:themeFillShade="80"/>
            <w:vAlign w:val="center"/>
          </w:tcPr>
          <w:p w:rsidR="00BE3B9F" w:rsidRPr="00E237E2" w:rsidRDefault="00BE3B9F" w:rsidP="00421BDA">
            <w:pPr>
              <w:spacing w:before="60" w:after="60" w:line="480" w:lineRule="auto"/>
              <w:rPr>
                <w:rFonts w:eastAsia="Times New Roman" w:cstheme="minorHAnsi"/>
                <w:b/>
                <w:bCs/>
                <w:color w:val="FFFFFF" w:themeColor="background1"/>
                <w:sz w:val="20"/>
                <w:szCs w:val="20"/>
                <w:lang w:eastAsia="en-GB"/>
              </w:rPr>
            </w:pPr>
            <w:r w:rsidRPr="00E237E2">
              <w:rPr>
                <w:rFonts w:eastAsia="Times New Roman" w:cstheme="minorHAnsi"/>
                <w:b/>
                <w:bCs/>
                <w:color w:val="FFFFFF" w:themeColor="background1"/>
                <w:sz w:val="20"/>
                <w:szCs w:val="20"/>
                <w:lang w:eastAsia="en-GB"/>
              </w:rPr>
              <w:t>Further information</w:t>
            </w:r>
          </w:p>
        </w:tc>
      </w:tr>
      <w:tr w:rsidR="00BE3B9F" w:rsidRPr="00E237E2" w:rsidTr="00E237E2">
        <w:trPr>
          <w:trHeight w:val="20"/>
        </w:trPr>
        <w:tc>
          <w:tcPr>
            <w:tcW w:w="1555" w:type="dxa"/>
          </w:tcPr>
          <w:p w:rsidR="00BE3B9F" w:rsidRPr="00E237E2" w:rsidRDefault="00BE3B9F" w:rsidP="00421BDA">
            <w:pPr>
              <w:spacing w:before="60" w:after="60"/>
              <w:rPr>
                <w:rFonts w:cstheme="minorHAnsi"/>
                <w:sz w:val="20"/>
              </w:rPr>
            </w:pPr>
            <w:r w:rsidRPr="00E237E2">
              <w:rPr>
                <w:rFonts w:cstheme="minorHAnsi"/>
                <w:sz w:val="20"/>
                <w:szCs w:val="20"/>
              </w:rPr>
              <w:t>Member States</w:t>
            </w:r>
          </w:p>
        </w:tc>
        <w:tc>
          <w:tcPr>
            <w:tcW w:w="1955" w:type="dxa"/>
          </w:tcPr>
          <w:p w:rsidR="00BE3B9F" w:rsidRPr="00E237E2" w:rsidRDefault="005B0E5C" w:rsidP="00421BDA">
            <w:pPr>
              <w:spacing w:before="60" w:after="60"/>
              <w:rPr>
                <w:rFonts w:cstheme="minorHAnsi"/>
                <w:sz w:val="20"/>
              </w:rPr>
            </w:pPr>
            <w:r w:rsidRPr="00E237E2">
              <w:rPr>
                <w:rFonts w:cstheme="minorHAnsi"/>
                <w:sz w:val="20"/>
                <w:szCs w:val="20"/>
              </w:rPr>
              <w:t>EU geographical coverage of the Member States</w:t>
            </w:r>
          </w:p>
        </w:tc>
        <w:tc>
          <w:tcPr>
            <w:tcW w:w="5506" w:type="dxa"/>
          </w:tcPr>
          <w:p w:rsidR="00BE3B9F" w:rsidRPr="00E237E2" w:rsidRDefault="000973B0" w:rsidP="00421BDA">
            <w:pPr>
              <w:spacing w:before="60" w:after="60"/>
              <w:rPr>
                <w:rFonts w:cstheme="minorHAnsi"/>
                <w:sz w:val="19"/>
                <w:szCs w:val="19"/>
              </w:rPr>
            </w:pPr>
            <w:r w:rsidRPr="00E237E2">
              <w:rPr>
                <w:rFonts w:cstheme="minorHAnsi"/>
                <w:sz w:val="19"/>
                <w:szCs w:val="19"/>
              </w:rPr>
              <w:t>This Directive</w:t>
            </w:r>
            <w:r w:rsidR="00426E63" w:rsidRPr="00E237E2">
              <w:rPr>
                <w:rFonts w:cstheme="minorHAnsi"/>
                <w:sz w:val="19"/>
                <w:szCs w:val="19"/>
              </w:rPr>
              <w:t xml:space="preserve"> </w:t>
            </w:r>
            <w:r w:rsidRPr="00E237E2">
              <w:rPr>
                <w:rFonts w:cstheme="minorHAnsi"/>
                <w:sz w:val="19"/>
                <w:szCs w:val="19"/>
              </w:rPr>
              <w:t>shall apply to emissions of the pollutants referred to in Annex I from all sources occurring in the territory of the Member States, their exclusive economic zones and pollution control zones.</w:t>
            </w:r>
          </w:p>
          <w:p w:rsidR="000973B0" w:rsidRPr="00E237E2" w:rsidRDefault="00426E63" w:rsidP="00421BDA">
            <w:pPr>
              <w:spacing w:before="60" w:after="60"/>
              <w:rPr>
                <w:rFonts w:cstheme="minorHAnsi"/>
                <w:sz w:val="20"/>
              </w:rPr>
            </w:pPr>
            <w:r w:rsidRPr="00E237E2">
              <w:rPr>
                <w:rFonts w:cstheme="minorHAnsi"/>
                <w:sz w:val="19"/>
                <w:szCs w:val="19"/>
              </w:rPr>
              <w:t>This Directive does not cover emissions in the Canary Islands, the French overseas departments, Madeira, and the Azores.</w:t>
            </w:r>
          </w:p>
        </w:tc>
      </w:tr>
      <w:tr w:rsidR="00BE3B9F" w:rsidRPr="00E237E2" w:rsidTr="00E237E2">
        <w:trPr>
          <w:trHeight w:val="20"/>
        </w:trPr>
        <w:tc>
          <w:tcPr>
            <w:tcW w:w="1555" w:type="dxa"/>
          </w:tcPr>
          <w:p w:rsidR="00BE3B9F" w:rsidRPr="00E237E2" w:rsidRDefault="00BE3B9F" w:rsidP="00421BDA">
            <w:pPr>
              <w:spacing w:before="60" w:after="60"/>
              <w:rPr>
                <w:rFonts w:cstheme="minorHAnsi"/>
                <w:sz w:val="20"/>
              </w:rPr>
            </w:pPr>
            <w:r w:rsidRPr="00E237E2">
              <w:rPr>
                <w:rFonts w:cstheme="minorHAnsi"/>
                <w:sz w:val="20"/>
                <w:szCs w:val="20"/>
              </w:rPr>
              <w:t>Years</w:t>
            </w:r>
          </w:p>
        </w:tc>
        <w:tc>
          <w:tcPr>
            <w:tcW w:w="1955" w:type="dxa"/>
          </w:tcPr>
          <w:p w:rsidR="00BE3B9F" w:rsidRPr="00E237E2" w:rsidRDefault="002A43A2" w:rsidP="00421BDA">
            <w:pPr>
              <w:spacing w:before="60" w:after="60"/>
              <w:rPr>
                <w:rFonts w:cstheme="minorHAnsi"/>
                <w:sz w:val="20"/>
              </w:rPr>
            </w:pPr>
            <w:r w:rsidRPr="00E237E2">
              <w:rPr>
                <w:rFonts w:cstheme="minorHAnsi"/>
                <w:sz w:val="20"/>
                <w:szCs w:val="20"/>
              </w:rPr>
              <w:t xml:space="preserve">2005, 2010 and 2015 </w:t>
            </w:r>
          </w:p>
        </w:tc>
        <w:tc>
          <w:tcPr>
            <w:tcW w:w="5506" w:type="dxa"/>
          </w:tcPr>
          <w:p w:rsidR="006A4812" w:rsidRPr="00E237E2" w:rsidRDefault="00300646" w:rsidP="00421BDA">
            <w:pPr>
              <w:spacing w:before="60" w:after="60"/>
              <w:rPr>
                <w:rFonts w:cstheme="minorHAnsi"/>
                <w:sz w:val="20"/>
              </w:rPr>
            </w:pPr>
            <w:r w:rsidRPr="00E237E2">
              <w:rPr>
                <w:rFonts w:cstheme="minorHAnsi"/>
                <w:sz w:val="20"/>
              </w:rPr>
              <w:t xml:space="preserve">In addition, time series consistency was reviewed across the whole time series. </w:t>
            </w:r>
          </w:p>
        </w:tc>
      </w:tr>
      <w:tr w:rsidR="00BE3B9F" w:rsidRPr="00E237E2" w:rsidTr="00E237E2">
        <w:trPr>
          <w:trHeight w:val="20"/>
        </w:trPr>
        <w:tc>
          <w:tcPr>
            <w:tcW w:w="1555" w:type="dxa"/>
          </w:tcPr>
          <w:p w:rsidR="00BE3B9F" w:rsidRPr="00E237E2" w:rsidRDefault="00F821CA" w:rsidP="00421BDA">
            <w:pPr>
              <w:spacing w:before="60" w:after="60"/>
              <w:rPr>
                <w:rFonts w:cstheme="minorHAnsi"/>
                <w:sz w:val="20"/>
              </w:rPr>
            </w:pPr>
            <w:r w:rsidRPr="00E237E2">
              <w:rPr>
                <w:rFonts w:cstheme="minorHAnsi"/>
                <w:sz w:val="20"/>
                <w:szCs w:val="20"/>
              </w:rPr>
              <w:t>Pollutants</w:t>
            </w:r>
          </w:p>
        </w:tc>
        <w:tc>
          <w:tcPr>
            <w:tcW w:w="1955" w:type="dxa"/>
          </w:tcPr>
          <w:p w:rsidR="00BE3B9F" w:rsidRPr="00E237E2" w:rsidRDefault="0057457C" w:rsidP="00421BDA">
            <w:pPr>
              <w:spacing w:before="60" w:after="60"/>
              <w:rPr>
                <w:rFonts w:cstheme="minorHAnsi"/>
                <w:sz w:val="20"/>
              </w:rPr>
            </w:pPr>
            <w:r w:rsidRPr="0057457C">
              <w:rPr>
                <w:rFonts w:cstheme="minorHAnsi"/>
                <w:sz w:val="20"/>
              </w:rPr>
              <w:t>NO</w:t>
            </w:r>
            <w:r w:rsidRPr="0057457C">
              <w:rPr>
                <w:rFonts w:cstheme="minorHAnsi"/>
                <w:sz w:val="20"/>
                <w:vertAlign w:val="subscript"/>
              </w:rPr>
              <w:t>X</w:t>
            </w:r>
            <w:r w:rsidR="002A43A2" w:rsidRPr="00E237E2">
              <w:rPr>
                <w:rFonts w:cstheme="minorHAnsi"/>
                <w:sz w:val="20"/>
              </w:rPr>
              <w:t xml:space="preserve">, NMVOC, </w:t>
            </w:r>
            <w:r w:rsidRPr="0057457C">
              <w:rPr>
                <w:rFonts w:cstheme="minorHAnsi"/>
                <w:sz w:val="20"/>
              </w:rPr>
              <w:t>SO</w:t>
            </w:r>
            <w:r w:rsidRPr="0057457C">
              <w:rPr>
                <w:rFonts w:cstheme="minorHAnsi"/>
                <w:sz w:val="20"/>
                <w:vertAlign w:val="subscript"/>
              </w:rPr>
              <w:t>X</w:t>
            </w:r>
            <w:r w:rsidR="002A43A2" w:rsidRPr="00E237E2">
              <w:rPr>
                <w:rFonts w:cstheme="minorHAnsi"/>
                <w:sz w:val="20"/>
              </w:rPr>
              <w:t xml:space="preserve">, </w:t>
            </w:r>
            <w:r w:rsidRPr="0057457C">
              <w:rPr>
                <w:rFonts w:cstheme="minorHAnsi"/>
                <w:sz w:val="20"/>
              </w:rPr>
              <w:t>NH</w:t>
            </w:r>
            <w:r w:rsidRPr="0057457C">
              <w:rPr>
                <w:rFonts w:cstheme="minorHAnsi"/>
                <w:sz w:val="20"/>
                <w:vertAlign w:val="subscript"/>
              </w:rPr>
              <w:t>3</w:t>
            </w:r>
            <w:r w:rsidR="00F821CA" w:rsidRPr="00E237E2">
              <w:rPr>
                <w:rFonts w:cstheme="minorHAnsi"/>
                <w:sz w:val="20"/>
              </w:rPr>
              <w:t>,</w:t>
            </w:r>
            <w:r w:rsidR="002A43A2" w:rsidRPr="00E237E2">
              <w:rPr>
                <w:rFonts w:cstheme="minorHAnsi"/>
                <w:sz w:val="20"/>
              </w:rPr>
              <w:t xml:space="preserve"> </w:t>
            </w:r>
            <w:r w:rsidRPr="0057457C">
              <w:rPr>
                <w:rFonts w:cstheme="minorHAnsi"/>
                <w:sz w:val="20"/>
              </w:rPr>
              <w:t>PM</w:t>
            </w:r>
            <w:r w:rsidRPr="0057457C">
              <w:rPr>
                <w:rFonts w:cstheme="minorHAnsi"/>
                <w:sz w:val="20"/>
                <w:vertAlign w:val="subscript"/>
              </w:rPr>
              <w:t>2.5</w:t>
            </w:r>
          </w:p>
        </w:tc>
        <w:tc>
          <w:tcPr>
            <w:tcW w:w="5506" w:type="dxa"/>
          </w:tcPr>
          <w:p w:rsidR="00BE3B9F" w:rsidRPr="00E237E2" w:rsidRDefault="00F821CA" w:rsidP="00421BDA">
            <w:pPr>
              <w:spacing w:before="60" w:after="60"/>
              <w:rPr>
                <w:rFonts w:cstheme="minorHAnsi"/>
                <w:sz w:val="20"/>
              </w:rPr>
            </w:pPr>
            <w:r w:rsidRPr="00E237E2">
              <w:rPr>
                <w:rFonts w:cstheme="minorHAnsi"/>
                <w:sz w:val="20"/>
                <w:szCs w:val="20"/>
              </w:rPr>
              <w:t xml:space="preserve">According to NECD Article </w:t>
            </w:r>
            <w:r w:rsidR="00CE124D" w:rsidRPr="00E237E2">
              <w:rPr>
                <w:rFonts w:cstheme="minorHAnsi"/>
                <w:sz w:val="20"/>
                <w:szCs w:val="20"/>
              </w:rPr>
              <w:t>1</w:t>
            </w:r>
            <w:r w:rsidRPr="00E237E2">
              <w:rPr>
                <w:rFonts w:cstheme="minorHAnsi"/>
                <w:sz w:val="20"/>
                <w:szCs w:val="20"/>
              </w:rPr>
              <w:t>(1)</w:t>
            </w:r>
          </w:p>
        </w:tc>
      </w:tr>
      <w:tr w:rsidR="00BE3B9F" w:rsidRPr="00E237E2" w:rsidTr="00E237E2">
        <w:trPr>
          <w:trHeight w:val="20"/>
        </w:trPr>
        <w:tc>
          <w:tcPr>
            <w:tcW w:w="1555" w:type="dxa"/>
          </w:tcPr>
          <w:p w:rsidR="00BE3B9F" w:rsidRPr="00E237E2" w:rsidRDefault="002A43A2" w:rsidP="00421BDA">
            <w:pPr>
              <w:spacing w:before="60" w:after="60"/>
              <w:rPr>
                <w:rFonts w:cstheme="minorHAnsi"/>
                <w:sz w:val="20"/>
              </w:rPr>
            </w:pPr>
            <w:r w:rsidRPr="00E237E2">
              <w:rPr>
                <w:rFonts w:cstheme="minorHAnsi"/>
                <w:sz w:val="20"/>
                <w:szCs w:val="20"/>
              </w:rPr>
              <w:t xml:space="preserve">Categories </w:t>
            </w:r>
          </w:p>
        </w:tc>
        <w:tc>
          <w:tcPr>
            <w:tcW w:w="1955" w:type="dxa"/>
          </w:tcPr>
          <w:p w:rsidR="002A43A2" w:rsidRPr="00E237E2" w:rsidRDefault="006A4812" w:rsidP="00421BDA">
            <w:pPr>
              <w:spacing w:before="60" w:after="60"/>
              <w:rPr>
                <w:rFonts w:cstheme="minorHAnsi"/>
                <w:sz w:val="20"/>
              </w:rPr>
            </w:pPr>
            <w:r w:rsidRPr="00E237E2">
              <w:rPr>
                <w:rFonts w:cstheme="minorHAnsi"/>
                <w:sz w:val="20"/>
                <w:szCs w:val="20"/>
              </w:rPr>
              <w:t xml:space="preserve">All </w:t>
            </w:r>
            <w:r w:rsidR="002A43A2" w:rsidRPr="00E237E2">
              <w:rPr>
                <w:rFonts w:cstheme="minorHAnsi"/>
                <w:sz w:val="20"/>
                <w:szCs w:val="20"/>
              </w:rPr>
              <w:t>NFR categories</w:t>
            </w:r>
            <w:r w:rsidR="00CE124D" w:rsidRPr="00E237E2">
              <w:rPr>
                <w:rFonts w:cstheme="minorHAnsi"/>
                <w:sz w:val="20"/>
                <w:szCs w:val="20"/>
              </w:rPr>
              <w:t>, including selected memo items</w:t>
            </w:r>
            <w:r w:rsidR="00C7208B" w:rsidRPr="00E237E2">
              <w:rPr>
                <w:rFonts w:cstheme="minorHAnsi"/>
                <w:sz w:val="20"/>
                <w:szCs w:val="20"/>
              </w:rPr>
              <w:t xml:space="preserve"> </w:t>
            </w:r>
          </w:p>
        </w:tc>
        <w:tc>
          <w:tcPr>
            <w:tcW w:w="5506" w:type="dxa"/>
          </w:tcPr>
          <w:p w:rsidR="00D5722B" w:rsidRPr="00E237E2" w:rsidRDefault="00D5722B" w:rsidP="00421BDA">
            <w:pPr>
              <w:spacing w:before="60" w:after="60"/>
              <w:rPr>
                <w:rFonts w:cstheme="minorHAnsi"/>
                <w:sz w:val="20"/>
                <w:szCs w:val="20"/>
              </w:rPr>
            </w:pPr>
            <w:r w:rsidRPr="00E237E2">
              <w:rPr>
                <w:rFonts w:cstheme="minorHAnsi"/>
                <w:sz w:val="20"/>
                <w:szCs w:val="20"/>
              </w:rPr>
              <w:t>All NFR categories as listed in Annex 1 of reporting guidelines</w:t>
            </w:r>
          </w:p>
          <w:p w:rsidR="00CE124D" w:rsidRPr="00E237E2" w:rsidRDefault="002A43A2" w:rsidP="00421BDA">
            <w:pPr>
              <w:spacing w:before="60" w:after="60"/>
              <w:rPr>
                <w:rFonts w:cstheme="minorHAnsi"/>
                <w:sz w:val="20"/>
                <w:szCs w:val="20"/>
              </w:rPr>
            </w:pPr>
            <w:r w:rsidRPr="00E237E2">
              <w:rPr>
                <w:rFonts w:cstheme="minorHAnsi"/>
                <w:sz w:val="20"/>
                <w:szCs w:val="20"/>
              </w:rPr>
              <w:t xml:space="preserve">Including </w:t>
            </w:r>
            <w:r w:rsidR="00CE124D" w:rsidRPr="00E237E2">
              <w:rPr>
                <w:rFonts w:cstheme="minorHAnsi"/>
                <w:sz w:val="20"/>
                <w:szCs w:val="20"/>
              </w:rPr>
              <w:t>the following memo items:</w:t>
            </w:r>
          </w:p>
          <w:p w:rsidR="00CE124D" w:rsidRPr="00E237E2" w:rsidRDefault="00CE124D" w:rsidP="00421BDA">
            <w:pPr>
              <w:spacing w:before="60" w:after="60"/>
              <w:rPr>
                <w:rFonts w:cstheme="minorHAnsi"/>
                <w:sz w:val="20"/>
                <w:szCs w:val="20"/>
                <w:lang w:val="fr-BE"/>
              </w:rPr>
            </w:pPr>
            <w:r w:rsidRPr="00E237E2">
              <w:rPr>
                <w:rFonts w:cstheme="minorHAnsi"/>
                <w:sz w:val="20"/>
                <w:szCs w:val="20"/>
                <w:lang w:val="fr-BE"/>
              </w:rPr>
              <w:t>1A3ai(ii) International aviation cruise (civil)</w:t>
            </w:r>
          </w:p>
          <w:p w:rsidR="00CE124D" w:rsidRPr="00E237E2" w:rsidRDefault="00CE124D" w:rsidP="00421BDA">
            <w:pPr>
              <w:spacing w:before="60" w:after="60"/>
              <w:rPr>
                <w:rFonts w:cstheme="minorHAnsi"/>
                <w:sz w:val="20"/>
                <w:szCs w:val="20"/>
              </w:rPr>
            </w:pPr>
            <w:r w:rsidRPr="00E237E2">
              <w:rPr>
                <w:rFonts w:cstheme="minorHAnsi"/>
                <w:sz w:val="20"/>
                <w:szCs w:val="20"/>
              </w:rPr>
              <w:t>1A3aii(ii) Domestic aviation cruise (civil)</w:t>
            </w:r>
          </w:p>
          <w:p w:rsidR="00CE124D" w:rsidRPr="00E237E2" w:rsidRDefault="00CE124D" w:rsidP="00421BDA">
            <w:pPr>
              <w:spacing w:before="60" w:after="60"/>
              <w:rPr>
                <w:rFonts w:cstheme="minorHAnsi"/>
                <w:sz w:val="20"/>
                <w:szCs w:val="20"/>
              </w:rPr>
            </w:pPr>
            <w:r w:rsidRPr="00E237E2">
              <w:rPr>
                <w:rFonts w:cstheme="minorHAnsi"/>
                <w:sz w:val="20"/>
                <w:szCs w:val="20"/>
              </w:rPr>
              <w:t xml:space="preserve">1A3di(i) International maritime navigation </w:t>
            </w:r>
          </w:p>
          <w:p w:rsidR="00BE3B9F" w:rsidRPr="00E237E2" w:rsidRDefault="00CE124D" w:rsidP="00421BDA">
            <w:pPr>
              <w:spacing w:before="60" w:after="60"/>
              <w:rPr>
                <w:rFonts w:cstheme="minorHAnsi"/>
                <w:sz w:val="20"/>
              </w:rPr>
            </w:pPr>
            <w:r w:rsidRPr="00E237E2">
              <w:rPr>
                <w:rFonts w:cstheme="minorHAnsi"/>
                <w:sz w:val="20"/>
                <w:szCs w:val="20"/>
              </w:rPr>
              <w:t>1A3 Transport (fuel used) – where a MS uses fuel used for compliance purposes.</w:t>
            </w:r>
          </w:p>
        </w:tc>
      </w:tr>
      <w:tr w:rsidR="006A4812" w:rsidRPr="00E237E2" w:rsidTr="00E237E2">
        <w:trPr>
          <w:trHeight w:val="20"/>
        </w:trPr>
        <w:tc>
          <w:tcPr>
            <w:tcW w:w="1555" w:type="dxa"/>
          </w:tcPr>
          <w:p w:rsidR="006A4812" w:rsidRPr="00E237E2" w:rsidRDefault="002A43A2" w:rsidP="00421BDA">
            <w:pPr>
              <w:spacing w:before="60" w:after="60"/>
              <w:rPr>
                <w:rFonts w:cstheme="minorHAnsi"/>
                <w:sz w:val="20"/>
              </w:rPr>
            </w:pPr>
            <w:r w:rsidRPr="00E237E2">
              <w:rPr>
                <w:rFonts w:cstheme="minorHAnsi"/>
                <w:sz w:val="20"/>
                <w:szCs w:val="20"/>
              </w:rPr>
              <w:t>National totals</w:t>
            </w:r>
          </w:p>
        </w:tc>
        <w:tc>
          <w:tcPr>
            <w:tcW w:w="1955" w:type="dxa"/>
          </w:tcPr>
          <w:p w:rsidR="006A4812" w:rsidRPr="00E237E2" w:rsidRDefault="002A43A2" w:rsidP="00421BDA">
            <w:pPr>
              <w:spacing w:before="60" w:after="60"/>
              <w:rPr>
                <w:rFonts w:cstheme="minorHAnsi"/>
                <w:sz w:val="20"/>
              </w:rPr>
            </w:pPr>
            <w:r w:rsidRPr="00E237E2">
              <w:rPr>
                <w:rFonts w:cstheme="minorHAnsi"/>
                <w:sz w:val="20"/>
                <w:szCs w:val="20"/>
              </w:rPr>
              <w:t>National total</w:t>
            </w:r>
            <w:r w:rsidR="00F03D79" w:rsidRPr="00E237E2">
              <w:rPr>
                <w:rFonts w:cstheme="minorHAnsi"/>
                <w:sz w:val="20"/>
                <w:szCs w:val="20"/>
              </w:rPr>
              <w:t xml:space="preserve"> </w:t>
            </w:r>
            <w:r w:rsidRPr="00E237E2">
              <w:rPr>
                <w:rFonts w:cstheme="minorHAnsi"/>
                <w:sz w:val="20"/>
                <w:szCs w:val="20"/>
              </w:rPr>
              <w:t>and National total for compliance</w:t>
            </w:r>
            <w:r w:rsidR="00C7208B" w:rsidRPr="00E237E2">
              <w:rPr>
                <w:rFonts w:cstheme="minorHAnsi"/>
                <w:sz w:val="20"/>
                <w:szCs w:val="20"/>
              </w:rPr>
              <w:t xml:space="preserve"> </w:t>
            </w:r>
          </w:p>
        </w:tc>
        <w:tc>
          <w:tcPr>
            <w:tcW w:w="5506" w:type="dxa"/>
          </w:tcPr>
          <w:p w:rsidR="006A4812" w:rsidRPr="00E237E2" w:rsidRDefault="00F03D79" w:rsidP="00421BDA">
            <w:pPr>
              <w:spacing w:before="60" w:after="60"/>
              <w:rPr>
                <w:rFonts w:cstheme="minorHAnsi"/>
                <w:sz w:val="20"/>
              </w:rPr>
            </w:pPr>
            <w:r w:rsidRPr="00E237E2">
              <w:rPr>
                <w:rFonts w:cstheme="minorHAnsi"/>
                <w:sz w:val="20"/>
              </w:rPr>
              <w:t>Rows 141 and 144</w:t>
            </w:r>
            <w:r w:rsidR="00C7208B" w:rsidRPr="00E237E2">
              <w:rPr>
                <w:rFonts w:cstheme="minorHAnsi"/>
                <w:sz w:val="20"/>
              </w:rPr>
              <w:t xml:space="preserve"> </w:t>
            </w:r>
            <w:r w:rsidRPr="00E237E2">
              <w:rPr>
                <w:rFonts w:cstheme="minorHAnsi"/>
                <w:sz w:val="20"/>
              </w:rPr>
              <w:t xml:space="preserve">in Annex I to reporting Guidelines </w:t>
            </w:r>
          </w:p>
        </w:tc>
      </w:tr>
    </w:tbl>
    <w:p w:rsidR="00207111" w:rsidRDefault="00207111" w:rsidP="00207111"/>
    <w:p w:rsidR="00207111" w:rsidRDefault="00207111" w:rsidP="00207111"/>
    <w:p w:rsidR="00DC5D3F" w:rsidRDefault="00DC5D3F" w:rsidP="00207111">
      <w:r>
        <w:br w:type="page"/>
      </w:r>
    </w:p>
    <w:p w:rsidR="00207111" w:rsidRDefault="00207111" w:rsidP="00207111">
      <w:pPr>
        <w:pStyle w:val="Heading1"/>
      </w:pPr>
      <w:bookmarkStart w:id="7" w:name="_Toc492155021"/>
      <w:bookmarkStart w:id="8" w:name="_Toc492155139"/>
      <w:bookmarkStart w:id="9" w:name="_Toc492155198"/>
      <w:bookmarkStart w:id="10" w:name="_Toc492155256"/>
      <w:bookmarkStart w:id="11" w:name="_Toc492155315"/>
      <w:bookmarkStart w:id="12" w:name="_Toc492155375"/>
      <w:bookmarkStart w:id="13" w:name="_Toc492155491"/>
      <w:bookmarkStart w:id="14" w:name="_Toc492155548"/>
      <w:bookmarkStart w:id="15" w:name="_Toc492282028"/>
      <w:bookmarkStart w:id="16" w:name="_Toc492282097"/>
      <w:bookmarkStart w:id="17" w:name="_Toc499631263"/>
      <w:bookmarkEnd w:id="7"/>
      <w:bookmarkEnd w:id="8"/>
      <w:bookmarkEnd w:id="9"/>
      <w:bookmarkEnd w:id="10"/>
      <w:bookmarkEnd w:id="11"/>
      <w:bookmarkEnd w:id="12"/>
      <w:bookmarkEnd w:id="13"/>
      <w:bookmarkEnd w:id="14"/>
      <w:bookmarkEnd w:id="15"/>
      <w:bookmarkEnd w:id="16"/>
      <w:r w:rsidRPr="00207111">
        <w:lastRenderedPageBreak/>
        <w:t>Findings and Conclusions from the Technical Expert Review Team (TERT</w:t>
      </w:r>
      <w:r>
        <w:t>)</w:t>
      </w:r>
      <w:bookmarkEnd w:id="17"/>
    </w:p>
    <w:p w:rsidR="00C5099B" w:rsidRDefault="00892E68" w:rsidP="00421BDA">
      <w:pPr>
        <w:pStyle w:val="StandardNum"/>
      </w:pPr>
      <w:r w:rsidRPr="00E26436">
        <w:t>T</w:t>
      </w:r>
      <w:r w:rsidRPr="00A054EA">
        <w:t>he TERT checked the</w:t>
      </w:r>
      <w:r w:rsidR="00C7208B">
        <w:t xml:space="preserve"> </w:t>
      </w:r>
      <w:r w:rsidR="006951EC">
        <w:t>national</w:t>
      </w:r>
      <w:r w:rsidR="00DB7318">
        <w:t xml:space="preserve"> </w:t>
      </w:r>
      <w:r w:rsidRPr="00A054EA">
        <w:t xml:space="preserve">inventory data </w:t>
      </w:r>
      <w:r w:rsidR="006951EC">
        <w:t xml:space="preserve">submitted under </w:t>
      </w:r>
      <w:r w:rsidR="00684412">
        <w:t xml:space="preserve">the </w:t>
      </w:r>
      <w:r w:rsidR="006951EC">
        <w:t xml:space="preserve">NECD </w:t>
      </w:r>
      <w:r w:rsidRPr="00A054EA">
        <w:t>for the years 2005, 2010,</w:t>
      </w:r>
      <w:r w:rsidR="00C7208B">
        <w:t xml:space="preserve"> </w:t>
      </w:r>
      <w:r w:rsidRPr="00A054EA">
        <w:t xml:space="preserve">and </w:t>
      </w:r>
      <w:r w:rsidR="00D5722B" w:rsidRPr="00A054EA">
        <w:t>201</w:t>
      </w:r>
      <w:r w:rsidR="00D5722B">
        <w:t>5</w:t>
      </w:r>
      <w:r w:rsidR="00D5722B" w:rsidRPr="00A054EA">
        <w:t xml:space="preserve"> </w:t>
      </w:r>
      <w:r w:rsidRPr="00A054EA">
        <w:t xml:space="preserve">submitted in </w:t>
      </w:r>
      <w:r w:rsidR="00D5722B" w:rsidRPr="00A054EA">
        <w:t>201</w:t>
      </w:r>
      <w:r w:rsidR="00D5722B">
        <w:t>7</w:t>
      </w:r>
      <w:r w:rsidR="00FB63F6">
        <w:t xml:space="preserve"> by</w:t>
      </w:r>
      <w:r w:rsidR="00D5722B" w:rsidRPr="00A054EA">
        <w:t xml:space="preserve"> </w:t>
      </w:r>
      <w:r w:rsidR="001D176A">
        <w:t>Austria</w:t>
      </w:r>
      <w:r w:rsidR="0030380D">
        <w:t xml:space="preserve"> </w:t>
      </w:r>
      <w:r w:rsidRPr="00FA7265">
        <w:t xml:space="preserve">pursuant to </w:t>
      </w:r>
      <w:r w:rsidR="008945B5" w:rsidRPr="00FA7265">
        <w:t>(Directive (EU) 2016/2284)</w:t>
      </w:r>
      <w:r w:rsidR="00C5099B">
        <w:t xml:space="preserve">. </w:t>
      </w:r>
    </w:p>
    <w:p w:rsidR="00892E68" w:rsidRPr="00781E9F" w:rsidRDefault="001D176A" w:rsidP="00635C20">
      <w:pPr>
        <w:pStyle w:val="StandardNum"/>
      </w:pPr>
      <w:r>
        <w:t>Austria did not provide to the Commission a resubmission after 15</w:t>
      </w:r>
      <w:r w:rsidR="00D42C62">
        <w:t xml:space="preserve"> April 2017</w:t>
      </w:r>
      <w:r>
        <w:t>.</w:t>
      </w:r>
    </w:p>
    <w:p w:rsidR="00892E68" w:rsidRPr="00360DBC" w:rsidRDefault="00892E68" w:rsidP="00635C20">
      <w:pPr>
        <w:pStyle w:val="StandardNum"/>
      </w:pPr>
      <w:r w:rsidRPr="00A054EA">
        <w:t>The TERT carri</w:t>
      </w:r>
      <w:r w:rsidRPr="00360DBC">
        <w:t xml:space="preserve">ed out checks to verify the transparency, accuracy, consistency, comparability and completeness of </w:t>
      </w:r>
      <w:r w:rsidR="00206454" w:rsidRPr="00360DBC">
        <w:t xml:space="preserve">the </w:t>
      </w:r>
      <w:r w:rsidRPr="00360DBC">
        <w:t>information submitted.</w:t>
      </w:r>
    </w:p>
    <w:p w:rsidR="00845175" w:rsidRPr="00360DBC" w:rsidRDefault="001D176A" w:rsidP="0037074B">
      <w:pPr>
        <w:pStyle w:val="StandardNum"/>
      </w:pPr>
      <w:r>
        <w:t>Transparency: The TERT found the submitted inventory to be sufficiently detailed and documented and noted that Tier 2 methods are generally used for key categories.</w:t>
      </w:r>
      <w:r w:rsidR="00360DBC" w:rsidRPr="00360DBC" w:rsidDel="00360DBC">
        <w:t xml:space="preserve"> </w:t>
      </w:r>
    </w:p>
    <w:p w:rsidR="00360DBC" w:rsidRDefault="001D176A" w:rsidP="0037074B">
      <w:pPr>
        <w:pStyle w:val="StandardNum"/>
      </w:pPr>
      <w:r>
        <w:t xml:space="preserve">The TERT noted that the submitted inventory is generally compiled in line with the </w:t>
      </w:r>
      <w:r w:rsidR="00DB4D80">
        <w:t xml:space="preserve">2016 </w:t>
      </w:r>
      <w:r>
        <w:t xml:space="preserve">EMEP/EEA </w:t>
      </w:r>
      <w:r w:rsidR="00DB4D80">
        <w:t>G</w:t>
      </w:r>
      <w:r>
        <w:t>uidebook and Directive (EU) 2016/2284.</w:t>
      </w:r>
    </w:p>
    <w:p w:rsidR="00A529B5" w:rsidRPr="0038552E" w:rsidRDefault="001D176A" w:rsidP="00C72081">
      <w:pPr>
        <w:pStyle w:val="StandardNum"/>
      </w:pPr>
      <w:r>
        <w:t xml:space="preserve">The TERT noted that the reported national total for compliance (row 144) differs from the national total (row 141) and is </w:t>
      </w:r>
      <w:r w:rsidR="00D83669">
        <w:t xml:space="preserve">not </w:t>
      </w:r>
      <w:r>
        <w:t xml:space="preserve">reported in line with the NECD. The TERT checked the national total for compliance and considers that it was </w:t>
      </w:r>
      <w:r w:rsidR="00BD0918">
        <w:t xml:space="preserve">not </w:t>
      </w:r>
      <w:r>
        <w:t>calculated consistently with the NECD</w:t>
      </w:r>
      <w:r w:rsidR="00BD0918">
        <w:t xml:space="preserve">, </w:t>
      </w:r>
      <w:r w:rsidR="00BD0918">
        <w:rPr>
          <w:rFonts w:asciiTheme="minorHAnsi" w:hAnsiTheme="minorHAnsi" w:cstheme="minorBidi"/>
          <w:color w:val="000000"/>
          <w:lang w:eastAsia="en-US"/>
        </w:rPr>
        <w:t>because NO</w:t>
      </w:r>
      <w:r w:rsidR="00BD0918" w:rsidRPr="00BD0918">
        <w:rPr>
          <w:rFonts w:asciiTheme="minorHAnsi" w:hAnsiTheme="minorHAnsi" w:cstheme="minorBidi"/>
          <w:color w:val="000000"/>
          <w:vertAlign w:val="subscript"/>
          <w:lang w:eastAsia="en-US"/>
        </w:rPr>
        <w:t>x</w:t>
      </w:r>
      <w:r w:rsidR="00BD0918">
        <w:rPr>
          <w:rFonts w:asciiTheme="minorHAnsi" w:hAnsiTheme="minorHAnsi" w:cstheme="minorBidi"/>
          <w:color w:val="000000"/>
          <w:lang w:eastAsia="en-US"/>
        </w:rPr>
        <w:t xml:space="preserve"> and NMVOC emissions from NFR 3D categories are subtracted from the National Total emissions</w:t>
      </w:r>
      <w:r>
        <w:t>.</w:t>
      </w:r>
      <w:r w:rsidR="00C72081">
        <w:t xml:space="preserve"> </w:t>
      </w:r>
      <w:r w:rsidR="00C72081" w:rsidRPr="00C72081">
        <w:t xml:space="preserve">Article 4 </w:t>
      </w:r>
      <w:r w:rsidR="00C72081">
        <w:t>Point 3</w:t>
      </w:r>
      <w:r w:rsidR="00C72081" w:rsidRPr="00C72081">
        <w:t>(d)</w:t>
      </w:r>
      <w:r w:rsidR="00C72081">
        <w:t xml:space="preserve"> of the NECD states that</w:t>
      </w:r>
      <w:r w:rsidR="00C72081" w:rsidRPr="00C72081">
        <w:t xml:space="preserve"> emissions of NO</w:t>
      </w:r>
      <w:r w:rsidR="00C72081" w:rsidRPr="00C72081">
        <w:rPr>
          <w:vertAlign w:val="subscript"/>
        </w:rPr>
        <w:t>x</w:t>
      </w:r>
      <w:r w:rsidR="00C72081" w:rsidRPr="00C72081">
        <w:t xml:space="preserve"> and NMVOC from activities falling under NFR 3B and 3D are not accounted for the purpose of complying</w:t>
      </w:r>
      <w:r w:rsidR="00C72081">
        <w:t xml:space="preserve"> with the National emission reduction commitments</w:t>
      </w:r>
      <w:r w:rsidR="00C72081" w:rsidRPr="00C72081">
        <w:t xml:space="preserve">. The National emission reduction commitments are </w:t>
      </w:r>
      <w:r w:rsidR="00C82D4A">
        <w:t xml:space="preserve">only </w:t>
      </w:r>
      <w:r w:rsidR="00C72081">
        <w:t>applicable starting in 2020 and</w:t>
      </w:r>
      <w:r w:rsidR="00C72081" w:rsidRPr="00C72081">
        <w:t xml:space="preserve"> therefore a subtraction is not </w:t>
      </w:r>
      <w:r w:rsidR="00A27018">
        <w:t>correct.</w:t>
      </w:r>
    </w:p>
    <w:p w:rsidR="00360DBC" w:rsidRDefault="001D176A" w:rsidP="0037074B">
      <w:pPr>
        <w:pStyle w:val="StandardNum"/>
      </w:pPr>
      <w:r>
        <w:t>The TERT noted that Austria reported transport emissions based on fuel sold and has additionally reported transport emissions based on fuel used. This is in line with the reporting guidelines.</w:t>
      </w:r>
    </w:p>
    <w:p w:rsidR="00AD0E05" w:rsidRDefault="001D176A" w:rsidP="00AD0E05">
      <w:pPr>
        <w:pStyle w:val="StandardNum"/>
      </w:pPr>
      <w:r>
        <w:t>Notation keys: The TERT noted the use of the notation keys is not consistent with the Reporting Guidelines. For example, "NO" (Not Occurring) or "NA" (Not Applicable) is used instead of "NE" (Not Estimated) in cases where emissions are expected to occur.</w:t>
      </w:r>
    </w:p>
    <w:p w:rsidR="00AD0E05" w:rsidRPr="00AD0E05" w:rsidRDefault="001D176A" w:rsidP="006314DA">
      <w:pPr>
        <w:pStyle w:val="StandardNum"/>
      </w:pPr>
      <w:r>
        <w:t>The TERT identified cases where inventory data were prepared in a manner which is inconsistent with UNECE Reporting Guidelines documentation. In particular, the TERT identified underestimate(s) or overestimate(s) exceeding the threshold of significance as established in EU Emission Inventory Review Guidelines.</w:t>
      </w:r>
    </w:p>
    <w:p w:rsidR="00D47018" w:rsidRDefault="001D176A" w:rsidP="00B32367">
      <w:pPr>
        <w:pStyle w:val="StandardNum"/>
      </w:pPr>
      <w:r>
        <w:t>The TERT did not deem necessary any technical corrections.</w:t>
      </w:r>
    </w:p>
    <w:p w:rsidR="00D47018" w:rsidRDefault="001D176A" w:rsidP="00635C20">
      <w:pPr>
        <w:pStyle w:val="StandardNum"/>
      </w:pPr>
      <w:r>
        <w:t>The TERT identified recommendations in order to improve the national inventory data of Austria (see section VII).</w:t>
      </w:r>
    </w:p>
    <w:p w:rsidR="0030380D" w:rsidRDefault="001D176A" w:rsidP="00635C20">
      <w:pPr>
        <w:pStyle w:val="StandardNum"/>
      </w:pPr>
      <w:r>
        <w:t>The TERT considers that it received a response from Austria that was sufficient in order to undertake the comprehensive technical review appropriately.</w:t>
      </w:r>
    </w:p>
    <w:p w:rsidR="0030380D" w:rsidRPr="008555E4" w:rsidRDefault="001D176A" w:rsidP="0030380D">
      <w:pPr>
        <w:pStyle w:val="StandardNum"/>
      </w:pPr>
      <w:r>
        <w:t xml:space="preserve">Austria submitted </w:t>
      </w:r>
      <w:r w:rsidR="002A4232">
        <w:t>3</w:t>
      </w:r>
      <w:r>
        <w:t xml:space="preserve"> adjustment applications </w:t>
      </w:r>
      <w:r w:rsidR="00A27018">
        <w:t xml:space="preserve">in 2017 </w:t>
      </w:r>
      <w:r>
        <w:t>that underwent review under this contract (see Annex II: Review of the 2017 adjustment application). The TERT concluded that the applications do meet all of the requirements laid out in Decision 2012/12 of the Executive Body of the CLRTAP, and therefore recommends that the European Commission ACCEPT these adjustment applications.</w:t>
      </w:r>
      <w:r w:rsidR="0030380D" w:rsidRPr="008555E4">
        <w:t xml:space="preserve">  </w:t>
      </w:r>
    </w:p>
    <w:p w:rsidR="00C5099B" w:rsidRDefault="00C5099B" w:rsidP="0030380D">
      <w:pPr>
        <w:pStyle w:val="StandardNum"/>
        <w:numPr>
          <w:ilvl w:val="0"/>
          <w:numId w:val="0"/>
        </w:numPr>
        <w:ind w:left="360" w:hanging="360"/>
      </w:pPr>
    </w:p>
    <w:p w:rsidR="00936F2F" w:rsidRDefault="00936F2F">
      <w:pPr>
        <w:rPr>
          <w:rFonts w:ascii="Calibri" w:eastAsia="Times New Roman" w:hAnsi="Calibri" w:cs="Times New Roman"/>
          <w:bCs/>
          <w:lang w:eastAsia="en-GB"/>
        </w:rPr>
      </w:pPr>
      <w:r>
        <w:br w:type="page"/>
      </w:r>
    </w:p>
    <w:p w:rsidR="00421BDA" w:rsidRDefault="00892E68" w:rsidP="00421BDA">
      <w:pPr>
        <w:pStyle w:val="Heading1"/>
      </w:pPr>
      <w:bookmarkStart w:id="18" w:name="_Toc499631264"/>
      <w:r>
        <w:lastRenderedPageBreak/>
        <w:t xml:space="preserve">National </w:t>
      </w:r>
      <w:r w:rsidR="00421BDA">
        <w:t>T</w:t>
      </w:r>
      <w:r w:rsidR="00287BF8">
        <w:t xml:space="preserve">otals </w:t>
      </w:r>
      <w:r w:rsidR="009D157A">
        <w:t>(row 141</w:t>
      </w:r>
      <w:r w:rsidR="00DB631E">
        <w:t xml:space="preserve"> and 144</w:t>
      </w:r>
      <w:r w:rsidR="009D157A">
        <w:t>)</w:t>
      </w:r>
      <w:r w:rsidR="00BC1D24">
        <w:t xml:space="preserve"> as reported </w:t>
      </w:r>
      <w:r w:rsidR="00F03D79">
        <w:t>and</w:t>
      </w:r>
      <w:r w:rsidR="00C7208B">
        <w:t xml:space="preserve"> </w:t>
      </w:r>
      <w:r w:rsidR="00421BDA">
        <w:t>N</w:t>
      </w:r>
      <w:r w:rsidR="00F03D79">
        <w:t xml:space="preserve">ational </w:t>
      </w:r>
      <w:r w:rsidR="00421BDA">
        <w:t>T</w:t>
      </w:r>
      <w:r w:rsidR="00F03D79">
        <w:t xml:space="preserve">otals </w:t>
      </w:r>
      <w:r w:rsidR="003F409A">
        <w:t xml:space="preserve">revised </w:t>
      </w:r>
      <w:r w:rsidR="00DB631E">
        <w:t xml:space="preserve">(row 141 and 144) </w:t>
      </w:r>
      <w:r w:rsidR="003F409A">
        <w:t>by accounting</w:t>
      </w:r>
      <w:r w:rsidR="00A46AA0">
        <w:t xml:space="preserve"> </w:t>
      </w:r>
      <w:r w:rsidR="00421BDA">
        <w:t xml:space="preserve">for </w:t>
      </w:r>
      <w:r w:rsidR="00326918">
        <w:t>R</w:t>
      </w:r>
      <w:r>
        <w:t xml:space="preserve">evised </w:t>
      </w:r>
      <w:r w:rsidR="00326918">
        <w:t>E</w:t>
      </w:r>
      <w:r>
        <w:t>stimates</w:t>
      </w:r>
      <w:r w:rsidR="00326918">
        <w:t xml:space="preserve"> and</w:t>
      </w:r>
      <w:r>
        <w:t xml:space="preserve"> </w:t>
      </w:r>
      <w:r w:rsidR="00326918">
        <w:t>T</w:t>
      </w:r>
      <w:r>
        <w:t xml:space="preserve">echnical </w:t>
      </w:r>
      <w:r w:rsidR="00326918">
        <w:t>C</w:t>
      </w:r>
      <w:r>
        <w:t>orrections</w:t>
      </w:r>
      <w:bookmarkEnd w:id="18"/>
    </w:p>
    <w:p w:rsidR="00421BDA" w:rsidRDefault="00421BDA" w:rsidP="00421BDA">
      <w:pPr>
        <w:pStyle w:val="StandardNum"/>
      </w:pPr>
      <w:r w:rsidRPr="00421BDA">
        <w:t xml:space="preserve">The table below shows differences between submitted inventories in Annex 1 table, rows 141 and 144 and revised national totals after accounting revised estimates and technical corrections. The table shows the direct changes in response to the NECD Review 2017. Recommendations related to the use of the </w:t>
      </w:r>
      <w:r w:rsidR="00DB4D80">
        <w:t xml:space="preserve">2013 </w:t>
      </w:r>
      <w:r w:rsidRPr="00421BDA">
        <w:t>EMEP/EEA Guidebook (for the submission in the year 2018) and adjustments previously approved under the LRTAP Convention are not considered in this table.</w:t>
      </w:r>
    </w:p>
    <w:p w:rsidR="00277603" w:rsidRDefault="00277603" w:rsidP="00277603">
      <w:pPr>
        <w:pStyle w:val="StandardNum"/>
        <w:numPr>
          <w:ilvl w:val="0"/>
          <w:numId w:val="0"/>
        </w:numPr>
        <w:ind w:left="360" w:hanging="360"/>
      </w:pPr>
    </w:p>
    <w:p w:rsidR="001D176A" w:rsidRDefault="00597452" w:rsidP="00DB4D80">
      <w:pPr>
        <w:pStyle w:val="Caption"/>
      </w:pPr>
      <w:bookmarkStart w:id="19" w:name="_Toc499631315"/>
      <w:r>
        <w:t xml:space="preserve">Table </w:t>
      </w:r>
      <w:fldSimple w:instr=" SEQ Table \* ARABIC ">
        <w:r w:rsidR="00C07297">
          <w:rPr>
            <w:noProof/>
          </w:rPr>
          <w:t>2</w:t>
        </w:r>
      </w:fldSimple>
      <w:r w:rsidR="00277603" w:rsidRPr="00277603">
        <w:t xml:space="preserve">: National totals as reported and national totals including revised estimates </w:t>
      </w:r>
      <w:r w:rsidR="00DB4D80">
        <w:t xml:space="preserve">(RE) </w:t>
      </w:r>
      <w:r w:rsidR="00277603" w:rsidRPr="00277603">
        <w:t>and technical corrections</w:t>
      </w:r>
      <w:r w:rsidR="00DB4D80">
        <w:t xml:space="preserve"> (TC)</w:t>
      </w:r>
      <w:r w:rsidR="00277603" w:rsidRPr="00543F64">
        <w:rPr>
          <w:vertAlign w:val="superscript"/>
        </w:rPr>
        <w:footnoteReference w:id="3"/>
      </w:r>
      <w:bookmarkEnd w:id="19"/>
    </w:p>
    <w:tbl>
      <w:tblPr>
        <w:tblW w:w="0" w:type="auto"/>
        <w:tblInd w:w="-38" w:type="dxa"/>
        <w:tblLayout w:type="fixed"/>
        <w:tblLook w:val="0000" w:firstRow="0" w:lastRow="0" w:firstColumn="0" w:lastColumn="0" w:noHBand="0" w:noVBand="0"/>
      </w:tblPr>
      <w:tblGrid>
        <w:gridCol w:w="3754"/>
        <w:gridCol w:w="2256"/>
        <w:gridCol w:w="967"/>
        <w:gridCol w:w="967"/>
        <w:gridCol w:w="967"/>
      </w:tblGrid>
      <w:tr w:rsidR="001D176A" w:rsidRPr="001D176A" w:rsidTr="00562CD4">
        <w:trPr>
          <w:trHeight w:val="290"/>
        </w:trPr>
        <w:tc>
          <w:tcPr>
            <w:tcW w:w="3754" w:type="dxa"/>
            <w:tcBorders>
              <w:top w:val="single" w:sz="6" w:space="0" w:color="auto"/>
              <w:left w:val="single" w:sz="6" w:space="0" w:color="auto"/>
              <w:bottom w:val="nil"/>
              <w:right w:val="single" w:sz="6" w:space="0" w:color="auto"/>
            </w:tcBorders>
            <w:shd w:val="solid" w:color="969696"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FFFFFF"/>
                <w:lang w:eastAsia="en-GB"/>
              </w:rPr>
            </w:pPr>
            <w:r w:rsidRPr="001D176A">
              <w:rPr>
                <w:rFonts w:ascii="Calibri" w:eastAsiaTheme="minorEastAsia" w:hAnsi="Calibri" w:cs="Calibri"/>
                <w:b/>
                <w:bCs/>
                <w:color w:val="FFFFFF"/>
                <w:lang w:eastAsia="en-GB"/>
              </w:rPr>
              <w:t>Description</w:t>
            </w:r>
          </w:p>
        </w:tc>
        <w:tc>
          <w:tcPr>
            <w:tcW w:w="2256" w:type="dxa"/>
            <w:tcBorders>
              <w:top w:val="single" w:sz="6" w:space="0" w:color="auto"/>
              <w:left w:val="single" w:sz="6" w:space="0" w:color="auto"/>
              <w:bottom w:val="nil"/>
              <w:right w:val="single" w:sz="6" w:space="0" w:color="auto"/>
            </w:tcBorders>
            <w:shd w:val="solid" w:color="969696"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FFFFFF"/>
                <w:lang w:eastAsia="en-GB"/>
              </w:rPr>
            </w:pPr>
            <w:r w:rsidRPr="001D176A">
              <w:rPr>
                <w:rFonts w:ascii="Calibri" w:eastAsiaTheme="minorEastAsia" w:hAnsi="Calibri" w:cs="Calibri"/>
                <w:b/>
                <w:bCs/>
                <w:color w:val="FFFFFF"/>
                <w:lang w:eastAsia="en-GB"/>
              </w:rPr>
              <w:t>Reference</w:t>
            </w:r>
          </w:p>
        </w:tc>
        <w:tc>
          <w:tcPr>
            <w:tcW w:w="2901" w:type="dxa"/>
            <w:gridSpan w:val="3"/>
            <w:tcBorders>
              <w:top w:val="single" w:sz="6" w:space="0" w:color="auto"/>
              <w:left w:val="single" w:sz="6" w:space="0" w:color="auto"/>
              <w:bottom w:val="single" w:sz="6" w:space="0" w:color="auto"/>
              <w:right w:val="single" w:sz="6" w:space="0" w:color="auto"/>
            </w:tcBorders>
            <w:shd w:val="solid" w:color="969696" w:fill="auto"/>
          </w:tcPr>
          <w:p w:rsidR="001D176A" w:rsidRPr="001D176A" w:rsidRDefault="001D176A" w:rsidP="001D176A">
            <w:pPr>
              <w:autoSpaceDE w:val="0"/>
              <w:autoSpaceDN w:val="0"/>
              <w:adjustRightInd w:val="0"/>
              <w:spacing w:after="0" w:line="240" w:lineRule="auto"/>
              <w:jc w:val="center"/>
              <w:rPr>
                <w:rFonts w:ascii="Calibri" w:eastAsiaTheme="minorEastAsia" w:hAnsi="Calibri" w:cs="Calibri"/>
                <w:b/>
                <w:bCs/>
                <w:color w:val="FFFFFF"/>
                <w:lang w:eastAsia="en-GB"/>
              </w:rPr>
            </w:pPr>
            <w:r w:rsidRPr="001D176A">
              <w:rPr>
                <w:rFonts w:ascii="Calibri" w:eastAsiaTheme="minorEastAsia" w:hAnsi="Calibri" w:cs="Calibri"/>
                <w:b/>
                <w:bCs/>
                <w:color w:val="FFFFFF"/>
                <w:lang w:eastAsia="en-GB"/>
              </w:rPr>
              <w:t>Pollutant estimates (kt)</w:t>
            </w:r>
          </w:p>
        </w:tc>
      </w:tr>
      <w:tr w:rsidR="001D176A" w:rsidRPr="001D176A" w:rsidTr="001D176A">
        <w:trPr>
          <w:trHeight w:val="290"/>
        </w:trPr>
        <w:tc>
          <w:tcPr>
            <w:tcW w:w="3754" w:type="dxa"/>
            <w:tcBorders>
              <w:top w:val="nil"/>
              <w:left w:val="single" w:sz="6" w:space="0" w:color="auto"/>
              <w:bottom w:val="single" w:sz="6" w:space="0" w:color="auto"/>
              <w:right w:val="single" w:sz="6" w:space="0" w:color="auto"/>
            </w:tcBorders>
            <w:shd w:val="solid" w:color="969696"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FFFFFF"/>
                <w:lang w:eastAsia="en-GB"/>
              </w:rPr>
            </w:pPr>
          </w:p>
        </w:tc>
        <w:tc>
          <w:tcPr>
            <w:tcW w:w="2256" w:type="dxa"/>
            <w:tcBorders>
              <w:top w:val="nil"/>
              <w:left w:val="single" w:sz="6" w:space="0" w:color="auto"/>
              <w:bottom w:val="single" w:sz="6" w:space="0" w:color="auto"/>
              <w:right w:val="single" w:sz="6" w:space="0" w:color="auto"/>
            </w:tcBorders>
            <w:shd w:val="solid" w:color="969696"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FFFFFF"/>
                <w:lang w:eastAsia="en-GB"/>
              </w:rPr>
            </w:pPr>
          </w:p>
        </w:tc>
        <w:tc>
          <w:tcPr>
            <w:tcW w:w="967" w:type="dxa"/>
            <w:tcBorders>
              <w:top w:val="single" w:sz="6" w:space="0" w:color="auto"/>
              <w:left w:val="single" w:sz="6" w:space="0" w:color="auto"/>
              <w:bottom w:val="single" w:sz="6" w:space="0" w:color="auto"/>
              <w:right w:val="single" w:sz="6" w:space="0" w:color="auto"/>
            </w:tcBorders>
            <w:shd w:val="solid" w:color="969696"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b/>
                <w:bCs/>
                <w:color w:val="FFFFFF"/>
                <w:lang w:eastAsia="en-GB"/>
              </w:rPr>
            </w:pPr>
            <w:r w:rsidRPr="001D176A">
              <w:rPr>
                <w:rFonts w:ascii="Calibri" w:eastAsiaTheme="minorEastAsia" w:hAnsi="Calibri" w:cs="Calibri"/>
                <w:b/>
                <w:bCs/>
                <w:color w:val="FFFFFF"/>
                <w:lang w:eastAsia="en-GB"/>
              </w:rPr>
              <w:t>2005</w:t>
            </w:r>
          </w:p>
        </w:tc>
        <w:tc>
          <w:tcPr>
            <w:tcW w:w="967" w:type="dxa"/>
            <w:tcBorders>
              <w:top w:val="single" w:sz="6" w:space="0" w:color="auto"/>
              <w:left w:val="single" w:sz="6" w:space="0" w:color="auto"/>
              <w:bottom w:val="single" w:sz="6" w:space="0" w:color="auto"/>
              <w:right w:val="single" w:sz="6" w:space="0" w:color="auto"/>
            </w:tcBorders>
            <w:shd w:val="solid" w:color="969696"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b/>
                <w:bCs/>
                <w:color w:val="FFFFFF"/>
                <w:lang w:eastAsia="en-GB"/>
              </w:rPr>
            </w:pPr>
            <w:r w:rsidRPr="001D176A">
              <w:rPr>
                <w:rFonts w:ascii="Calibri" w:eastAsiaTheme="minorEastAsia" w:hAnsi="Calibri" w:cs="Calibri"/>
                <w:b/>
                <w:bCs/>
                <w:color w:val="FFFFFF"/>
                <w:lang w:eastAsia="en-GB"/>
              </w:rPr>
              <w:t>2010</w:t>
            </w:r>
          </w:p>
        </w:tc>
        <w:tc>
          <w:tcPr>
            <w:tcW w:w="967" w:type="dxa"/>
            <w:tcBorders>
              <w:top w:val="single" w:sz="6" w:space="0" w:color="auto"/>
              <w:left w:val="single" w:sz="6" w:space="0" w:color="auto"/>
              <w:bottom w:val="single" w:sz="6" w:space="0" w:color="auto"/>
              <w:right w:val="single" w:sz="6" w:space="0" w:color="auto"/>
            </w:tcBorders>
            <w:shd w:val="solid" w:color="969696"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b/>
                <w:bCs/>
                <w:color w:val="FFFFFF"/>
                <w:lang w:eastAsia="en-GB"/>
              </w:rPr>
            </w:pPr>
            <w:r w:rsidRPr="001D176A">
              <w:rPr>
                <w:rFonts w:ascii="Calibri" w:eastAsiaTheme="minorEastAsia" w:hAnsi="Calibri" w:cs="Calibri"/>
                <w:b/>
                <w:bCs/>
                <w:color w:val="FFFFFF"/>
                <w:lang w:eastAsia="en-GB"/>
              </w:rPr>
              <w:t>2015</w:t>
            </w:r>
          </w:p>
        </w:tc>
      </w:tr>
      <w:tr w:rsidR="001D176A" w:rsidRPr="001D176A" w:rsidTr="001D176A">
        <w:trPr>
          <w:trHeight w:val="362"/>
        </w:trPr>
        <w:tc>
          <w:tcPr>
            <w:tcW w:w="3754" w:type="dxa"/>
            <w:tcBorders>
              <w:top w:val="single" w:sz="6" w:space="0" w:color="auto"/>
              <w:left w:val="single" w:sz="6" w:space="0" w:color="auto"/>
              <w:bottom w:val="single" w:sz="6" w:space="0" w:color="auto"/>
              <w:right w:val="nil"/>
            </w:tcBorders>
            <w:shd w:val="solid" w:color="C0C0C0" w:fill="auto"/>
          </w:tcPr>
          <w:p w:rsidR="001D176A" w:rsidRPr="001D176A" w:rsidRDefault="0057457C"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r w:rsidRPr="0057457C">
              <w:rPr>
                <w:rFonts w:ascii="Calibri" w:eastAsiaTheme="minorEastAsia" w:hAnsi="Calibri" w:cs="Calibri"/>
                <w:b/>
                <w:bCs/>
                <w:color w:val="000000"/>
                <w:sz w:val="28"/>
                <w:szCs w:val="28"/>
                <w:lang w:eastAsia="en-GB"/>
              </w:rPr>
              <w:t>NO</w:t>
            </w:r>
            <w:r w:rsidRPr="0057457C">
              <w:rPr>
                <w:rFonts w:ascii="Calibri" w:eastAsiaTheme="minorEastAsia" w:hAnsi="Calibri" w:cs="Calibri"/>
                <w:b/>
                <w:bCs/>
                <w:color w:val="000000"/>
                <w:sz w:val="28"/>
                <w:szCs w:val="28"/>
                <w:vertAlign w:val="subscript"/>
                <w:lang w:eastAsia="en-GB"/>
              </w:rPr>
              <w:t>X</w:t>
            </w:r>
          </w:p>
        </w:tc>
        <w:tc>
          <w:tcPr>
            <w:tcW w:w="2256"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single" w:sz="6" w:space="0" w:color="auto"/>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r>
      <w:tr w:rsidR="001D176A" w:rsidRPr="001D176A" w:rsidTr="000D2AD9">
        <w:trPr>
          <w:trHeight w:val="442"/>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238.057</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181.081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149.123</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for compliance</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168.976</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139.729</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120.834</w:t>
            </w:r>
          </w:p>
        </w:tc>
      </w:tr>
      <w:tr w:rsidR="001D176A" w:rsidRPr="001D176A" w:rsidTr="00562CD4">
        <w:trPr>
          <w:trHeight w:val="290"/>
        </w:trPr>
        <w:tc>
          <w:tcPr>
            <w:tcW w:w="8911" w:type="dxa"/>
            <w:gridSpan w:val="5"/>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lang w:eastAsia="en-GB"/>
              </w:rPr>
            </w:pPr>
            <w:r w:rsidRPr="001D176A">
              <w:rPr>
                <w:rFonts w:ascii="Calibri" w:eastAsiaTheme="minorEastAsia" w:hAnsi="Calibri" w:cs="Calibri"/>
                <w:b/>
                <w:bCs/>
                <w:color w:val="000000"/>
                <w:lang w:eastAsia="en-GB"/>
              </w:rPr>
              <w:t>Adjustment provided by Austria and recommended by the TERT to be accepted by the EC</w:t>
            </w:r>
          </w:p>
        </w:tc>
      </w:tr>
      <w:tr w:rsidR="007D2D88"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rPr>
                <w:rFonts w:ascii="Calibri" w:eastAsiaTheme="minorEastAsia" w:hAnsi="Calibri" w:cs="Calibri"/>
                <w:color w:val="000000"/>
                <w:lang w:eastAsia="en-GB"/>
              </w:rPr>
            </w:pPr>
            <w:r w:rsidRPr="00FE3990">
              <w:t>1A3b Road Transport</w:t>
            </w:r>
          </w:p>
        </w:tc>
        <w:tc>
          <w:tcPr>
            <w:tcW w:w="2256"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FE3990">
              <w:t>-26.354</w:t>
            </w: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FE3990">
              <w:t>-27.554</w:t>
            </w:r>
          </w:p>
        </w:tc>
      </w:tr>
      <w:tr w:rsidR="008E0F45" w:rsidRPr="009003AE" w:rsidTr="008E0F45">
        <w:trPr>
          <w:trHeight w:val="290"/>
        </w:trPr>
        <w:tc>
          <w:tcPr>
            <w:tcW w:w="8911" w:type="dxa"/>
            <w:gridSpan w:val="5"/>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B978F0" w:rsidP="007C5785">
            <w:pPr>
              <w:autoSpaceDE w:val="0"/>
              <w:autoSpaceDN w:val="0"/>
              <w:adjustRightInd w:val="0"/>
              <w:spacing w:after="0" w:line="240" w:lineRule="auto"/>
              <w:rPr>
                <w:rFonts w:ascii="Calibri" w:eastAsiaTheme="minorEastAsia" w:hAnsi="Calibri" w:cs="Calibri"/>
                <w:b/>
                <w:bCs/>
                <w:color w:val="000000"/>
                <w:lang w:eastAsia="en-GB"/>
              </w:rPr>
            </w:pPr>
            <w:r w:rsidRPr="001D176A">
              <w:rPr>
                <w:rFonts w:ascii="Calibri" w:eastAsiaTheme="minorEastAsia" w:hAnsi="Calibri" w:cs="Calibri"/>
                <w:b/>
                <w:bCs/>
                <w:color w:val="000000"/>
                <w:lang w:eastAsia="en-GB"/>
              </w:rPr>
              <w:t>Difference between original estimate and revised estimate provided by Austria and accepted by the TERT</w:t>
            </w:r>
          </w:p>
        </w:tc>
      </w:tr>
      <w:tr w:rsidR="008E0F45" w:rsidRPr="009003AE" w:rsidTr="008E0F45">
        <w:trPr>
          <w:trHeight w:val="290"/>
        </w:trPr>
        <w:tc>
          <w:tcPr>
            <w:tcW w:w="3754"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for compliance</w:t>
            </w:r>
          </w:p>
        </w:tc>
        <w:tc>
          <w:tcPr>
            <w:tcW w:w="2256"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144</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9.967</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9.695</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10.903</w:t>
            </w:r>
          </w:p>
        </w:tc>
      </w:tr>
      <w:tr w:rsidR="001D176A" w:rsidRPr="001D176A" w:rsidTr="001D176A">
        <w:trPr>
          <w:trHeight w:val="871"/>
        </w:trPr>
        <w:tc>
          <w:tcPr>
            <w:tcW w:w="3754"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(row 141) including revised estimates and technical corrections</w:t>
            </w:r>
          </w:p>
        </w:tc>
        <w:tc>
          <w:tcPr>
            <w:tcW w:w="2256"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238.057</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181.081</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149.123</w:t>
            </w:r>
          </w:p>
        </w:tc>
      </w:tr>
      <w:tr w:rsidR="007D2D88" w:rsidRPr="001D176A" w:rsidTr="00D32350">
        <w:trPr>
          <w:trHeight w:val="1167"/>
        </w:trPr>
        <w:tc>
          <w:tcPr>
            <w:tcW w:w="3754"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7D2D88" w:rsidP="007D2D88">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Total (row 144) estimate including revised estimates, technical corrections and adjustments recommended by TERT to be accepted by EC</w:t>
            </w:r>
          </w:p>
        </w:tc>
        <w:tc>
          <w:tcPr>
            <w:tcW w:w="2256"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7D2D88" w:rsidP="007D2D88">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C72081" w:rsidP="007D2D88">
            <w:pPr>
              <w:autoSpaceDE w:val="0"/>
              <w:autoSpaceDN w:val="0"/>
              <w:adjustRightInd w:val="0"/>
              <w:spacing w:after="0" w:line="240" w:lineRule="auto"/>
              <w:jc w:val="right"/>
              <w:rPr>
                <w:rFonts w:ascii="Calibri" w:eastAsiaTheme="minorEastAsia" w:hAnsi="Calibri" w:cs="Calibri"/>
                <w:color w:val="000000"/>
                <w:lang w:eastAsia="en-GB"/>
              </w:rPr>
            </w:pPr>
            <w:r>
              <w:t xml:space="preserve"> </w:t>
            </w:r>
            <w:r w:rsidRPr="00C72081">
              <w:rPr>
                <w:rFonts w:ascii="Calibri" w:eastAsiaTheme="minorEastAsia" w:hAnsi="Calibri" w:cs="Calibri"/>
                <w:color w:val="000000"/>
                <w:lang w:eastAsia="en-GB"/>
              </w:rPr>
              <w:t>178.94</w:t>
            </w:r>
            <w:r>
              <w:rPr>
                <w:rFonts w:ascii="Calibri" w:eastAsiaTheme="minorEastAsia" w:hAnsi="Calibri" w:cs="Calibri"/>
                <w:color w:val="000000"/>
                <w:lang w:eastAsia="en-GB"/>
              </w:rPr>
              <w:t>3</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C72081" w:rsidP="00B0324F">
            <w:pPr>
              <w:autoSpaceDE w:val="0"/>
              <w:autoSpaceDN w:val="0"/>
              <w:adjustRightInd w:val="0"/>
              <w:spacing w:after="0" w:line="240" w:lineRule="auto"/>
              <w:jc w:val="right"/>
              <w:rPr>
                <w:rFonts w:ascii="Calibri" w:eastAsiaTheme="minorEastAsia" w:hAnsi="Calibri" w:cs="Calibri"/>
                <w:color w:val="000000"/>
                <w:lang w:eastAsia="en-GB"/>
              </w:rPr>
            </w:pPr>
            <w:r>
              <w:t xml:space="preserve"> </w:t>
            </w:r>
            <w:r w:rsidR="00B0324F">
              <w:t>123.069</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C72081" w:rsidP="00B0324F">
            <w:pPr>
              <w:autoSpaceDE w:val="0"/>
              <w:autoSpaceDN w:val="0"/>
              <w:adjustRightInd w:val="0"/>
              <w:spacing w:after="0" w:line="240" w:lineRule="auto"/>
              <w:jc w:val="right"/>
              <w:rPr>
                <w:rFonts w:ascii="Calibri" w:eastAsiaTheme="minorEastAsia" w:hAnsi="Calibri" w:cs="Calibri"/>
                <w:color w:val="000000"/>
                <w:lang w:eastAsia="en-GB"/>
              </w:rPr>
            </w:pPr>
            <w:r>
              <w:t xml:space="preserve"> </w:t>
            </w:r>
            <w:r w:rsidRPr="00C72081">
              <w:t>1</w:t>
            </w:r>
            <w:r w:rsidR="00B0324F">
              <w:t>04</w:t>
            </w:r>
            <w:r w:rsidRPr="00C72081">
              <w:t>.</w:t>
            </w:r>
            <w:r w:rsidR="00B0324F">
              <w:t>183</w:t>
            </w:r>
          </w:p>
        </w:tc>
      </w:tr>
      <w:tr w:rsidR="001D176A" w:rsidRPr="001D176A" w:rsidTr="001D176A">
        <w:trPr>
          <w:trHeight w:val="362"/>
        </w:trPr>
        <w:tc>
          <w:tcPr>
            <w:tcW w:w="3754" w:type="dxa"/>
            <w:tcBorders>
              <w:top w:val="single" w:sz="6" w:space="0" w:color="auto"/>
              <w:left w:val="single" w:sz="6" w:space="0" w:color="auto"/>
              <w:bottom w:val="single" w:sz="6" w:space="0" w:color="auto"/>
              <w:right w:val="nil"/>
            </w:tcBorders>
            <w:shd w:val="solid" w:color="C0C0C0" w:fill="auto"/>
          </w:tcPr>
          <w:p w:rsidR="001D176A" w:rsidRPr="001D176A" w:rsidRDefault="0057457C"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r w:rsidRPr="0057457C">
              <w:rPr>
                <w:rFonts w:ascii="Calibri" w:eastAsiaTheme="minorEastAsia" w:hAnsi="Calibri" w:cs="Calibri"/>
                <w:b/>
                <w:bCs/>
                <w:color w:val="000000"/>
                <w:sz w:val="28"/>
                <w:szCs w:val="28"/>
                <w:lang w:eastAsia="en-GB"/>
              </w:rPr>
              <w:t>SO</w:t>
            </w:r>
            <w:r w:rsidRPr="0057457C">
              <w:rPr>
                <w:rFonts w:ascii="Calibri" w:eastAsiaTheme="minorEastAsia" w:hAnsi="Calibri" w:cs="Calibri"/>
                <w:b/>
                <w:bCs/>
                <w:color w:val="000000"/>
                <w:sz w:val="28"/>
                <w:szCs w:val="28"/>
                <w:vertAlign w:val="subscript"/>
                <w:lang w:eastAsia="en-GB"/>
              </w:rPr>
              <w:t>X</w:t>
            </w:r>
          </w:p>
        </w:tc>
        <w:tc>
          <w:tcPr>
            <w:tcW w:w="2256"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single" w:sz="6" w:space="0" w:color="auto"/>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25.946</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16.701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14.902</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for compliance</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25.891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16.665</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14.870</w:t>
            </w:r>
          </w:p>
        </w:tc>
      </w:tr>
      <w:tr w:rsidR="001D176A" w:rsidRPr="001D176A" w:rsidTr="00562CD4">
        <w:trPr>
          <w:trHeight w:val="290"/>
        </w:trPr>
        <w:tc>
          <w:tcPr>
            <w:tcW w:w="8911" w:type="dxa"/>
            <w:gridSpan w:val="5"/>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lang w:eastAsia="en-GB"/>
              </w:rPr>
            </w:pPr>
            <w:r w:rsidRPr="001D176A">
              <w:rPr>
                <w:rFonts w:ascii="Calibri" w:eastAsiaTheme="minorEastAsia" w:hAnsi="Calibri" w:cs="Calibri"/>
                <w:b/>
                <w:bCs/>
                <w:color w:val="000000"/>
                <w:lang w:eastAsia="en-GB"/>
              </w:rPr>
              <w:t>Difference between original estimate and revised estimate provided by Austria and accepted by the TERT</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1A2 Stationary combustion in manufacturing industries and construction</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AT-1A2-2017-0001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0.220</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0.220</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0.185</w:t>
            </w:r>
          </w:p>
        </w:tc>
      </w:tr>
      <w:tr w:rsidR="001D176A" w:rsidRPr="001D176A" w:rsidTr="001D176A">
        <w:trPr>
          <w:trHeight w:val="871"/>
        </w:trPr>
        <w:tc>
          <w:tcPr>
            <w:tcW w:w="3754"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(row 141) including revised estimates and technical corrections</w:t>
            </w:r>
          </w:p>
        </w:tc>
        <w:tc>
          <w:tcPr>
            <w:tcW w:w="2256"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7C4027" w:rsidP="001D176A">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2</w:t>
            </w:r>
            <w:r w:rsidR="00AA5DA4">
              <w:rPr>
                <w:rFonts w:ascii="Calibri" w:eastAsiaTheme="minorEastAsia" w:hAnsi="Calibri" w:cs="Calibri"/>
                <w:color w:val="000000"/>
                <w:lang w:eastAsia="en-GB"/>
              </w:rPr>
              <w:t>6</w:t>
            </w:r>
            <w:r>
              <w:rPr>
                <w:rFonts w:ascii="Calibri" w:eastAsiaTheme="minorEastAsia" w:hAnsi="Calibri" w:cs="Calibri"/>
                <w:color w:val="000000"/>
                <w:lang w:eastAsia="en-GB"/>
              </w:rPr>
              <w:t>.165</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16.921</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15.087</w:t>
            </w:r>
          </w:p>
        </w:tc>
      </w:tr>
      <w:tr w:rsidR="001D176A" w:rsidRPr="001D176A" w:rsidTr="00D32350">
        <w:trPr>
          <w:trHeight w:val="836"/>
        </w:trPr>
        <w:tc>
          <w:tcPr>
            <w:tcW w:w="3754"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lastRenderedPageBreak/>
              <w:t>Total (row 144) estimate including revised estimates, technical corrections and adjustments recommended by TERT to be accepted by EC</w:t>
            </w:r>
          </w:p>
        </w:tc>
        <w:tc>
          <w:tcPr>
            <w:tcW w:w="2256"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26.110</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16.885</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15.055</w:t>
            </w:r>
          </w:p>
        </w:tc>
      </w:tr>
      <w:tr w:rsidR="001D176A" w:rsidRPr="001D176A" w:rsidTr="001D176A">
        <w:trPr>
          <w:trHeight w:val="362"/>
        </w:trPr>
        <w:tc>
          <w:tcPr>
            <w:tcW w:w="3754" w:type="dxa"/>
            <w:tcBorders>
              <w:top w:val="single" w:sz="6" w:space="0" w:color="auto"/>
              <w:left w:val="single" w:sz="6" w:space="0" w:color="auto"/>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r w:rsidRPr="001D176A">
              <w:rPr>
                <w:rFonts w:ascii="Calibri" w:eastAsiaTheme="minorEastAsia" w:hAnsi="Calibri" w:cs="Calibri"/>
                <w:b/>
                <w:bCs/>
                <w:color w:val="000000"/>
                <w:sz w:val="28"/>
                <w:szCs w:val="28"/>
                <w:lang w:eastAsia="en-GB"/>
              </w:rPr>
              <w:t>NMVOC</w:t>
            </w:r>
          </w:p>
        </w:tc>
        <w:tc>
          <w:tcPr>
            <w:tcW w:w="2256"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single" w:sz="6" w:space="0" w:color="auto"/>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136.624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118.732</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112.890</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for compliance</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131.325</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116.134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111.330</w:t>
            </w:r>
          </w:p>
        </w:tc>
      </w:tr>
      <w:tr w:rsidR="008E0F45" w:rsidRPr="009003AE" w:rsidTr="007C5785">
        <w:trPr>
          <w:trHeight w:val="290"/>
        </w:trPr>
        <w:tc>
          <w:tcPr>
            <w:tcW w:w="8911" w:type="dxa"/>
            <w:gridSpan w:val="5"/>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B978F0" w:rsidP="007C5785">
            <w:pPr>
              <w:autoSpaceDE w:val="0"/>
              <w:autoSpaceDN w:val="0"/>
              <w:adjustRightInd w:val="0"/>
              <w:spacing w:after="0" w:line="240" w:lineRule="auto"/>
              <w:rPr>
                <w:rFonts w:ascii="Calibri" w:eastAsiaTheme="minorEastAsia" w:hAnsi="Calibri" w:cs="Calibri"/>
                <w:b/>
                <w:bCs/>
                <w:color w:val="000000"/>
                <w:lang w:eastAsia="en-GB"/>
              </w:rPr>
            </w:pPr>
            <w:r w:rsidRPr="001D176A">
              <w:rPr>
                <w:rFonts w:ascii="Calibri" w:eastAsiaTheme="minorEastAsia" w:hAnsi="Calibri" w:cs="Calibri"/>
                <w:b/>
                <w:bCs/>
                <w:color w:val="000000"/>
                <w:lang w:eastAsia="en-GB"/>
              </w:rPr>
              <w:t>Difference between original estimate and revised estimate provided by Austria and accepted by the TERT</w:t>
            </w:r>
          </w:p>
        </w:tc>
      </w:tr>
      <w:tr w:rsidR="008E0F45" w:rsidRPr="009003AE" w:rsidTr="007C5785">
        <w:trPr>
          <w:trHeight w:val="290"/>
        </w:trPr>
        <w:tc>
          <w:tcPr>
            <w:tcW w:w="3754"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for compliance</w:t>
            </w:r>
          </w:p>
        </w:tc>
        <w:tc>
          <w:tcPr>
            <w:tcW w:w="2256"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171602" w:rsidP="007C5785">
            <w:pPr>
              <w:autoSpaceDE w:val="0"/>
              <w:autoSpaceDN w:val="0"/>
              <w:adjustRightInd w:val="0"/>
              <w:spacing w:after="0" w:line="240" w:lineRule="auto"/>
              <w:rPr>
                <w:rFonts w:ascii="Calibri" w:eastAsiaTheme="minorEastAsia" w:hAnsi="Calibri" w:cs="Calibri"/>
                <w:color w:val="000000"/>
                <w:lang w:eastAsia="en-GB"/>
              </w:rPr>
            </w:pPr>
            <w:r w:rsidRPr="00171602">
              <w:rPr>
                <w:rFonts w:ascii="Calibri" w:eastAsiaTheme="minorEastAsia" w:hAnsi="Calibri" w:cs="Calibri"/>
                <w:color w:val="000000"/>
                <w:lang w:eastAsia="en-GB"/>
              </w:rPr>
              <w:t>AT-NatTot-2017-0001</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1.109</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1.058</w:t>
            </w:r>
          </w:p>
        </w:tc>
        <w:tc>
          <w:tcPr>
            <w:tcW w:w="967" w:type="dxa"/>
            <w:tcBorders>
              <w:top w:val="single" w:sz="6" w:space="0" w:color="auto"/>
              <w:left w:val="single" w:sz="6" w:space="0" w:color="auto"/>
              <w:bottom w:val="single" w:sz="6" w:space="0" w:color="auto"/>
              <w:right w:val="single" w:sz="6" w:space="0" w:color="auto"/>
            </w:tcBorders>
            <w:shd w:val="clear" w:color="auto" w:fill="auto"/>
          </w:tcPr>
          <w:p w:rsidR="008E0F45" w:rsidRPr="009003AE" w:rsidRDefault="008E0F45" w:rsidP="007C57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1.031</w:t>
            </w:r>
          </w:p>
        </w:tc>
      </w:tr>
      <w:tr w:rsidR="001D176A" w:rsidRPr="001D176A" w:rsidTr="001D176A">
        <w:trPr>
          <w:trHeight w:val="871"/>
        </w:trPr>
        <w:tc>
          <w:tcPr>
            <w:tcW w:w="3754"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(row 141) including revised estimates and technical corrections</w:t>
            </w:r>
          </w:p>
        </w:tc>
        <w:tc>
          <w:tcPr>
            <w:tcW w:w="2256"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136.624</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118.732</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112.890</w:t>
            </w:r>
          </w:p>
        </w:tc>
      </w:tr>
      <w:tr w:rsidR="001D176A" w:rsidRPr="001D176A" w:rsidTr="00D32350">
        <w:trPr>
          <w:trHeight w:val="805"/>
        </w:trPr>
        <w:tc>
          <w:tcPr>
            <w:tcW w:w="3754"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Total (row 144) estimate including revised estimates, technical corrections</w:t>
            </w:r>
            <w:r w:rsidR="00D32350">
              <w:rPr>
                <w:rFonts w:ascii="Calibri" w:eastAsiaTheme="minorEastAsia" w:hAnsi="Calibri" w:cs="Calibri"/>
                <w:color w:val="000000"/>
                <w:lang w:eastAsia="en-GB"/>
              </w:rPr>
              <w:t xml:space="preserve"> </w:t>
            </w:r>
            <w:r w:rsidRPr="001D176A">
              <w:rPr>
                <w:rFonts w:ascii="Calibri" w:eastAsiaTheme="minorEastAsia" w:hAnsi="Calibri" w:cs="Calibri"/>
                <w:color w:val="000000"/>
                <w:lang w:eastAsia="en-GB"/>
              </w:rPr>
              <w:t>and adjustments recommended by TERT to be accepted by EC</w:t>
            </w:r>
          </w:p>
        </w:tc>
        <w:tc>
          <w:tcPr>
            <w:tcW w:w="2256"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C72081" w:rsidP="001D176A">
            <w:pPr>
              <w:autoSpaceDE w:val="0"/>
              <w:autoSpaceDN w:val="0"/>
              <w:adjustRightInd w:val="0"/>
              <w:spacing w:after="0" w:line="240" w:lineRule="auto"/>
              <w:jc w:val="right"/>
              <w:rPr>
                <w:rFonts w:ascii="Calibri" w:eastAsiaTheme="minorEastAsia" w:hAnsi="Calibri" w:cs="Calibri"/>
                <w:color w:val="000000"/>
                <w:lang w:eastAsia="en-GB"/>
              </w:rPr>
            </w:pPr>
            <w:r>
              <w:t xml:space="preserve"> </w:t>
            </w:r>
            <w:r w:rsidRPr="00C72081">
              <w:rPr>
                <w:rFonts w:ascii="Calibri" w:eastAsiaTheme="minorEastAsia" w:hAnsi="Calibri" w:cs="Calibri"/>
                <w:color w:val="000000"/>
                <w:lang w:eastAsia="en-GB"/>
              </w:rPr>
              <w:t>132.434</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C72081" w:rsidP="001D176A">
            <w:pPr>
              <w:autoSpaceDE w:val="0"/>
              <w:autoSpaceDN w:val="0"/>
              <w:adjustRightInd w:val="0"/>
              <w:spacing w:after="0" w:line="240" w:lineRule="auto"/>
              <w:jc w:val="right"/>
              <w:rPr>
                <w:rFonts w:ascii="Calibri" w:eastAsiaTheme="minorEastAsia" w:hAnsi="Calibri" w:cs="Calibri"/>
                <w:color w:val="000000"/>
                <w:lang w:eastAsia="en-GB"/>
              </w:rPr>
            </w:pPr>
            <w:r>
              <w:t xml:space="preserve"> </w:t>
            </w:r>
            <w:r w:rsidRPr="00C72081">
              <w:rPr>
                <w:rFonts w:ascii="Calibri" w:eastAsiaTheme="minorEastAsia" w:hAnsi="Calibri" w:cs="Calibri"/>
                <w:color w:val="000000"/>
                <w:lang w:eastAsia="en-GB"/>
              </w:rPr>
              <w:t>117.192</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C72081" w:rsidP="001D176A">
            <w:pPr>
              <w:autoSpaceDE w:val="0"/>
              <w:autoSpaceDN w:val="0"/>
              <w:adjustRightInd w:val="0"/>
              <w:spacing w:after="0" w:line="240" w:lineRule="auto"/>
              <w:jc w:val="right"/>
              <w:rPr>
                <w:rFonts w:ascii="Calibri" w:eastAsiaTheme="minorEastAsia" w:hAnsi="Calibri" w:cs="Calibri"/>
                <w:color w:val="000000"/>
                <w:lang w:eastAsia="en-GB"/>
              </w:rPr>
            </w:pPr>
            <w:r>
              <w:t xml:space="preserve"> </w:t>
            </w:r>
            <w:r w:rsidRPr="00C72081">
              <w:rPr>
                <w:rFonts w:ascii="Calibri" w:eastAsiaTheme="minorEastAsia" w:hAnsi="Calibri" w:cs="Calibri"/>
                <w:color w:val="000000"/>
                <w:lang w:eastAsia="en-GB"/>
              </w:rPr>
              <w:t>112.36</w:t>
            </w:r>
            <w:r>
              <w:rPr>
                <w:rFonts w:ascii="Calibri" w:eastAsiaTheme="minorEastAsia" w:hAnsi="Calibri" w:cs="Calibri"/>
                <w:color w:val="000000"/>
                <w:lang w:eastAsia="en-GB"/>
              </w:rPr>
              <w:t>1</w:t>
            </w:r>
          </w:p>
        </w:tc>
      </w:tr>
      <w:tr w:rsidR="001D176A" w:rsidRPr="001D176A" w:rsidTr="001D176A">
        <w:trPr>
          <w:trHeight w:val="362"/>
        </w:trPr>
        <w:tc>
          <w:tcPr>
            <w:tcW w:w="3754" w:type="dxa"/>
            <w:tcBorders>
              <w:top w:val="single" w:sz="6" w:space="0" w:color="auto"/>
              <w:left w:val="single" w:sz="6" w:space="0" w:color="auto"/>
              <w:bottom w:val="single" w:sz="6" w:space="0" w:color="auto"/>
              <w:right w:val="nil"/>
            </w:tcBorders>
            <w:shd w:val="solid" w:color="C0C0C0" w:fill="auto"/>
          </w:tcPr>
          <w:p w:rsidR="001D176A" w:rsidRPr="001D176A" w:rsidRDefault="0057457C"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r w:rsidRPr="0057457C">
              <w:rPr>
                <w:rFonts w:ascii="Calibri" w:eastAsiaTheme="minorEastAsia" w:hAnsi="Calibri" w:cs="Calibri"/>
                <w:b/>
                <w:bCs/>
                <w:color w:val="000000"/>
                <w:sz w:val="28"/>
                <w:szCs w:val="28"/>
                <w:lang w:eastAsia="en-GB"/>
              </w:rPr>
              <w:t>NH</w:t>
            </w:r>
            <w:r w:rsidRPr="0057457C">
              <w:rPr>
                <w:rFonts w:ascii="Calibri" w:eastAsiaTheme="minorEastAsia" w:hAnsi="Calibri" w:cs="Calibri"/>
                <w:b/>
                <w:bCs/>
                <w:color w:val="000000"/>
                <w:sz w:val="28"/>
                <w:szCs w:val="28"/>
                <w:vertAlign w:val="subscript"/>
                <w:lang w:eastAsia="en-GB"/>
              </w:rPr>
              <w:t>3</w:t>
            </w:r>
          </w:p>
        </w:tc>
        <w:tc>
          <w:tcPr>
            <w:tcW w:w="2256"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single" w:sz="6" w:space="0" w:color="auto"/>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65.296</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66.797</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66.867</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for compliance</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64.704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66.533</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66.802</w:t>
            </w:r>
          </w:p>
        </w:tc>
      </w:tr>
      <w:tr w:rsidR="001D176A" w:rsidRPr="001D176A" w:rsidTr="00562CD4">
        <w:trPr>
          <w:trHeight w:val="290"/>
        </w:trPr>
        <w:tc>
          <w:tcPr>
            <w:tcW w:w="8911" w:type="dxa"/>
            <w:gridSpan w:val="5"/>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lang w:eastAsia="en-GB"/>
              </w:rPr>
            </w:pPr>
            <w:r w:rsidRPr="001D176A">
              <w:rPr>
                <w:rFonts w:ascii="Calibri" w:eastAsiaTheme="minorEastAsia" w:hAnsi="Calibri" w:cs="Calibri"/>
                <w:b/>
                <w:bCs/>
                <w:color w:val="000000"/>
                <w:lang w:eastAsia="en-GB"/>
              </w:rPr>
              <w:t>Adjustment provided by Austria and recommended by the TERT to be accepted by the EC</w:t>
            </w:r>
          </w:p>
        </w:tc>
      </w:tr>
      <w:tr w:rsidR="007D2D88"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rPr>
                <w:rFonts w:ascii="Calibri" w:eastAsiaTheme="minorEastAsia" w:hAnsi="Calibri" w:cs="Calibri"/>
                <w:color w:val="000000"/>
                <w:lang w:eastAsia="en-GB"/>
              </w:rPr>
            </w:pPr>
            <w:r w:rsidRPr="007E7299">
              <w:t>3Da2b Sewage sludge applied to soils</w:t>
            </w:r>
          </w:p>
        </w:tc>
        <w:tc>
          <w:tcPr>
            <w:tcW w:w="2256"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7E7299">
              <w:t>-0.225</w:t>
            </w: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7E7299">
              <w:t>-0.238</w:t>
            </w:r>
          </w:p>
        </w:tc>
      </w:tr>
      <w:tr w:rsidR="007D2D88"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rPr>
                <w:rFonts w:ascii="Calibri" w:eastAsiaTheme="minorEastAsia" w:hAnsi="Calibri" w:cs="Calibri"/>
                <w:color w:val="000000"/>
                <w:lang w:eastAsia="en-GB"/>
              </w:rPr>
            </w:pPr>
            <w:r w:rsidRPr="007E7299">
              <w:t>3Da2c Other organic fertilisers applied to soils</w:t>
            </w:r>
          </w:p>
        </w:tc>
        <w:tc>
          <w:tcPr>
            <w:tcW w:w="2256"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7E7299">
              <w:t>-0.673</w:t>
            </w:r>
          </w:p>
        </w:tc>
        <w:tc>
          <w:tcPr>
            <w:tcW w:w="967" w:type="dxa"/>
            <w:tcBorders>
              <w:top w:val="single" w:sz="6" w:space="0" w:color="auto"/>
              <w:left w:val="single" w:sz="6" w:space="0" w:color="auto"/>
              <w:bottom w:val="single" w:sz="6" w:space="0" w:color="auto"/>
              <w:right w:val="single" w:sz="6" w:space="0" w:color="auto"/>
            </w:tcBorders>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7E7299">
              <w:t>-0.663</w:t>
            </w:r>
          </w:p>
        </w:tc>
      </w:tr>
      <w:tr w:rsidR="001D176A" w:rsidRPr="001D176A" w:rsidTr="001D176A">
        <w:trPr>
          <w:trHeight w:val="871"/>
        </w:trPr>
        <w:tc>
          <w:tcPr>
            <w:tcW w:w="3754"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(row 141) including revised estimates and technical corrections</w:t>
            </w:r>
          </w:p>
        </w:tc>
        <w:tc>
          <w:tcPr>
            <w:tcW w:w="2256"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65.296</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66.797</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66.867</w:t>
            </w:r>
          </w:p>
        </w:tc>
      </w:tr>
      <w:tr w:rsidR="007D2D88" w:rsidRPr="001D176A" w:rsidTr="00D32350">
        <w:trPr>
          <w:trHeight w:val="1077"/>
        </w:trPr>
        <w:tc>
          <w:tcPr>
            <w:tcW w:w="3754"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7D2D88" w:rsidP="007D2D88">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Total (row 144) estimate including revised estimates, technical corrections and adjustments recommended by TERT to be accepted by EC</w:t>
            </w:r>
          </w:p>
        </w:tc>
        <w:tc>
          <w:tcPr>
            <w:tcW w:w="2256"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7D2D88" w:rsidP="007D2D88">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64.704</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A86BCB">
              <w:t>65.635</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7D2D88" w:rsidRPr="001D176A" w:rsidRDefault="007D2D88" w:rsidP="007D2D88">
            <w:pPr>
              <w:autoSpaceDE w:val="0"/>
              <w:autoSpaceDN w:val="0"/>
              <w:adjustRightInd w:val="0"/>
              <w:spacing w:after="0" w:line="240" w:lineRule="auto"/>
              <w:jc w:val="right"/>
              <w:rPr>
                <w:rFonts w:ascii="Calibri" w:eastAsiaTheme="minorEastAsia" w:hAnsi="Calibri" w:cs="Calibri"/>
                <w:color w:val="000000"/>
                <w:lang w:eastAsia="en-GB"/>
              </w:rPr>
            </w:pPr>
            <w:r w:rsidRPr="00A86BCB">
              <w:t>65.902</w:t>
            </w:r>
          </w:p>
        </w:tc>
      </w:tr>
      <w:tr w:rsidR="001D176A" w:rsidRPr="001D176A" w:rsidTr="001D176A">
        <w:trPr>
          <w:trHeight w:val="391"/>
        </w:trPr>
        <w:tc>
          <w:tcPr>
            <w:tcW w:w="3754" w:type="dxa"/>
            <w:tcBorders>
              <w:top w:val="single" w:sz="6" w:space="0" w:color="auto"/>
              <w:left w:val="single" w:sz="6" w:space="0" w:color="auto"/>
              <w:bottom w:val="single" w:sz="6" w:space="0" w:color="auto"/>
              <w:right w:val="nil"/>
            </w:tcBorders>
            <w:shd w:val="solid" w:color="C0C0C0" w:fill="auto"/>
          </w:tcPr>
          <w:p w:rsidR="001D176A" w:rsidRPr="001D176A" w:rsidRDefault="0057457C" w:rsidP="001D176A">
            <w:pPr>
              <w:autoSpaceDE w:val="0"/>
              <w:autoSpaceDN w:val="0"/>
              <w:adjustRightInd w:val="0"/>
              <w:spacing w:after="0" w:line="240" w:lineRule="auto"/>
              <w:rPr>
                <w:rFonts w:ascii="Calibri" w:eastAsiaTheme="minorEastAsia" w:hAnsi="Calibri" w:cs="Calibri"/>
                <w:b/>
                <w:bCs/>
                <w:color w:val="000000"/>
                <w:sz w:val="28"/>
                <w:szCs w:val="28"/>
                <w:vertAlign w:val="subscript"/>
                <w:lang w:eastAsia="en-GB"/>
              </w:rPr>
            </w:pPr>
            <w:r w:rsidRPr="0057457C">
              <w:rPr>
                <w:rFonts w:ascii="Calibri" w:eastAsiaTheme="minorEastAsia" w:hAnsi="Calibri" w:cs="Calibri"/>
                <w:b/>
                <w:bCs/>
                <w:color w:val="000000"/>
                <w:sz w:val="28"/>
                <w:szCs w:val="28"/>
                <w:lang w:eastAsia="en-GB"/>
              </w:rPr>
              <w:t>PM</w:t>
            </w:r>
            <w:r w:rsidRPr="0057457C">
              <w:rPr>
                <w:rFonts w:ascii="Calibri" w:eastAsiaTheme="minorEastAsia" w:hAnsi="Calibri" w:cs="Calibri"/>
                <w:b/>
                <w:bCs/>
                <w:color w:val="000000"/>
                <w:sz w:val="28"/>
                <w:szCs w:val="28"/>
                <w:vertAlign w:val="subscript"/>
                <w:lang w:eastAsia="en-GB"/>
              </w:rPr>
              <w:t>2.5</w:t>
            </w:r>
          </w:p>
        </w:tc>
        <w:tc>
          <w:tcPr>
            <w:tcW w:w="2256"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nil"/>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c>
          <w:tcPr>
            <w:tcW w:w="967" w:type="dxa"/>
            <w:tcBorders>
              <w:top w:val="single" w:sz="6" w:space="0" w:color="auto"/>
              <w:left w:val="nil"/>
              <w:bottom w:val="single" w:sz="6" w:space="0" w:color="auto"/>
              <w:right w:val="single" w:sz="6" w:space="0" w:color="auto"/>
            </w:tcBorders>
            <w:shd w:val="solid" w:color="C0C0C0" w:fill="auto"/>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sz w:val="28"/>
                <w:szCs w:val="28"/>
                <w:lang w:eastAsia="en-GB"/>
              </w:rPr>
            </w:pP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22.106</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19.022</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16.622</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for compliance</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Annex I, row 144</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D57185" w:rsidP="00D571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D57185" w:rsidP="00D57185">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D57185" w:rsidP="007C4027">
            <w:pPr>
              <w:autoSpaceDE w:val="0"/>
              <w:autoSpaceDN w:val="0"/>
              <w:adjustRightInd w:val="0"/>
              <w:spacing w:after="0" w:line="240" w:lineRule="auto"/>
              <w:jc w:val="right"/>
              <w:rPr>
                <w:rFonts w:ascii="Calibri" w:eastAsiaTheme="minorEastAsia" w:hAnsi="Calibri" w:cs="Calibri"/>
                <w:color w:val="000000"/>
                <w:lang w:eastAsia="en-GB"/>
              </w:rPr>
            </w:pPr>
            <w:r>
              <w:rPr>
                <w:rFonts w:ascii="Calibri" w:eastAsiaTheme="minorEastAsia" w:hAnsi="Calibri" w:cs="Calibri"/>
                <w:color w:val="000000"/>
                <w:lang w:eastAsia="en-GB"/>
              </w:rPr>
              <w:t>-</w:t>
            </w:r>
          </w:p>
        </w:tc>
      </w:tr>
      <w:tr w:rsidR="001D176A" w:rsidRPr="001D176A" w:rsidTr="00562CD4">
        <w:trPr>
          <w:trHeight w:val="290"/>
        </w:trPr>
        <w:tc>
          <w:tcPr>
            <w:tcW w:w="8911" w:type="dxa"/>
            <w:gridSpan w:val="5"/>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b/>
                <w:bCs/>
                <w:color w:val="000000"/>
                <w:lang w:eastAsia="en-GB"/>
              </w:rPr>
            </w:pPr>
            <w:r w:rsidRPr="001D176A">
              <w:rPr>
                <w:rFonts w:ascii="Calibri" w:eastAsiaTheme="minorEastAsia" w:hAnsi="Calibri" w:cs="Calibri"/>
                <w:b/>
                <w:bCs/>
                <w:color w:val="000000"/>
                <w:lang w:eastAsia="en-GB"/>
              </w:rPr>
              <w:t>Difference between original estimate and revised estimate provided by Austria and accepted by the TERT</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3Da1 Inorganic N-fertilizers (includes also urea application)</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AT-3Da1-2017-0002</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-0.889</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-0.855</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-0.835</w:t>
            </w:r>
          </w:p>
        </w:tc>
      </w:tr>
      <w:tr w:rsidR="001D176A" w:rsidRPr="001D176A" w:rsidTr="001D176A">
        <w:trPr>
          <w:trHeight w:val="290"/>
        </w:trPr>
        <w:tc>
          <w:tcPr>
            <w:tcW w:w="3754"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 xml:space="preserve">5E Other waste </w:t>
            </w:r>
          </w:p>
        </w:tc>
        <w:tc>
          <w:tcPr>
            <w:tcW w:w="2256"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AT-5E-2017-0001</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0.183</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0.272</w:t>
            </w:r>
          </w:p>
        </w:tc>
        <w:tc>
          <w:tcPr>
            <w:tcW w:w="967" w:type="dxa"/>
            <w:tcBorders>
              <w:top w:val="single" w:sz="6" w:space="0" w:color="auto"/>
              <w:left w:val="single" w:sz="6" w:space="0" w:color="auto"/>
              <w:bottom w:val="single" w:sz="6" w:space="0" w:color="auto"/>
              <w:right w:val="single" w:sz="6" w:space="0" w:color="auto"/>
            </w:tcBorders>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0.251</w:t>
            </w:r>
          </w:p>
        </w:tc>
      </w:tr>
      <w:tr w:rsidR="001D176A" w:rsidRPr="001D176A" w:rsidTr="001D176A">
        <w:trPr>
          <w:trHeight w:val="871"/>
        </w:trPr>
        <w:tc>
          <w:tcPr>
            <w:tcW w:w="3754"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National total (row 141) including revised estimates and technical corrections</w:t>
            </w:r>
          </w:p>
        </w:tc>
        <w:tc>
          <w:tcPr>
            <w:tcW w:w="2256"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21.400</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18.439</w:t>
            </w:r>
          </w:p>
        </w:tc>
        <w:tc>
          <w:tcPr>
            <w:tcW w:w="967" w:type="dxa"/>
            <w:tcBorders>
              <w:top w:val="single" w:sz="6" w:space="0" w:color="auto"/>
              <w:left w:val="single" w:sz="6" w:space="0" w:color="auto"/>
              <w:bottom w:val="single" w:sz="6" w:space="0" w:color="auto"/>
              <w:right w:val="single" w:sz="6" w:space="0" w:color="auto"/>
            </w:tcBorders>
            <w:shd w:val="solid" w:color="CCCCFF"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16.037</w:t>
            </w:r>
          </w:p>
        </w:tc>
      </w:tr>
      <w:tr w:rsidR="001D176A" w:rsidRPr="001D176A" w:rsidTr="00D32350">
        <w:trPr>
          <w:trHeight w:val="1068"/>
        </w:trPr>
        <w:tc>
          <w:tcPr>
            <w:tcW w:w="3754"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ascii="Calibri" w:eastAsiaTheme="minorEastAsia" w:hAnsi="Calibri" w:cs="Calibri"/>
                <w:color w:val="000000"/>
                <w:lang w:eastAsia="en-GB"/>
              </w:rPr>
              <w:t>Total (row 144) estimate including revised estimates, technical corrections and adjustments recommended by TERT to be accepted by EC</w:t>
            </w:r>
          </w:p>
        </w:tc>
        <w:tc>
          <w:tcPr>
            <w:tcW w:w="2256"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rPr>
                <w:rFonts w:ascii="Calibri" w:eastAsiaTheme="minorEastAsia" w:hAnsi="Calibri" w:cs="Calibri"/>
                <w:i/>
                <w:iCs/>
                <w:color w:val="000000"/>
                <w:lang w:eastAsia="en-GB"/>
              </w:rPr>
            </w:pPr>
            <w:r w:rsidRPr="001D176A">
              <w:rPr>
                <w:rFonts w:ascii="Calibri" w:eastAsiaTheme="minorEastAsia" w:hAnsi="Calibri" w:cs="Calibri"/>
                <w:i/>
                <w:iCs/>
                <w:color w:val="000000"/>
                <w:lang w:eastAsia="en-GB"/>
              </w:rPr>
              <w:t>Calculated using data above</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w:t>
            </w:r>
          </w:p>
        </w:tc>
        <w:tc>
          <w:tcPr>
            <w:tcW w:w="967" w:type="dxa"/>
            <w:tcBorders>
              <w:top w:val="single" w:sz="6" w:space="0" w:color="auto"/>
              <w:left w:val="single" w:sz="6" w:space="0" w:color="auto"/>
              <w:bottom w:val="single" w:sz="6" w:space="0" w:color="auto"/>
              <w:right w:val="single" w:sz="6" w:space="0" w:color="auto"/>
            </w:tcBorders>
            <w:shd w:val="solid" w:color="FFFF99" w:fill="auto"/>
          </w:tcPr>
          <w:p w:rsidR="001D176A" w:rsidRPr="001D176A" w:rsidRDefault="001D176A" w:rsidP="001D176A">
            <w:pPr>
              <w:autoSpaceDE w:val="0"/>
              <w:autoSpaceDN w:val="0"/>
              <w:adjustRightInd w:val="0"/>
              <w:spacing w:after="0" w:line="240" w:lineRule="auto"/>
              <w:jc w:val="right"/>
              <w:rPr>
                <w:rFonts w:ascii="Calibri" w:eastAsiaTheme="minorEastAsia" w:hAnsi="Calibri" w:cs="Calibri"/>
                <w:color w:val="000000"/>
                <w:lang w:eastAsia="en-GB"/>
              </w:rPr>
            </w:pPr>
            <w:r w:rsidRPr="001D176A">
              <w:rPr>
                <w:rFonts w:ascii="Calibri" w:eastAsiaTheme="minorEastAsia" w:hAnsi="Calibri" w:cs="Calibri"/>
                <w:color w:val="000000"/>
                <w:lang w:eastAsia="en-GB"/>
              </w:rPr>
              <w:t>-</w:t>
            </w:r>
          </w:p>
        </w:tc>
      </w:tr>
    </w:tbl>
    <w:p w:rsidR="00326918" w:rsidRDefault="00326918" w:rsidP="00277603">
      <w:bookmarkStart w:id="20" w:name="_Toc492151829"/>
      <w:bookmarkStart w:id="21" w:name="_Toc492151830"/>
      <w:bookmarkStart w:id="22" w:name="_Toc492151831"/>
      <w:bookmarkStart w:id="23" w:name="_Toc492151832"/>
      <w:bookmarkEnd w:id="20"/>
      <w:bookmarkEnd w:id="21"/>
      <w:bookmarkEnd w:id="22"/>
      <w:bookmarkEnd w:id="23"/>
    </w:p>
    <w:p w:rsidR="007E5D9D" w:rsidRDefault="00326918" w:rsidP="00C016BA">
      <w:pPr>
        <w:pStyle w:val="Heading1"/>
      </w:pPr>
      <w:r>
        <w:br w:type="page"/>
      </w:r>
      <w:bookmarkStart w:id="24" w:name="_Toc492151834"/>
      <w:bookmarkStart w:id="25" w:name="_Toc492152617"/>
      <w:bookmarkStart w:id="26" w:name="_Toc492152925"/>
      <w:bookmarkStart w:id="27" w:name="_Toc492154188"/>
      <w:bookmarkStart w:id="28" w:name="_Toc492154890"/>
      <w:bookmarkStart w:id="29" w:name="_Toc492155025"/>
      <w:bookmarkStart w:id="30" w:name="_Toc492155083"/>
      <w:bookmarkStart w:id="31" w:name="_Toc492155142"/>
      <w:bookmarkStart w:id="32" w:name="_Toc492155201"/>
      <w:bookmarkStart w:id="33" w:name="_Toc492155259"/>
      <w:bookmarkStart w:id="34" w:name="_Toc492155318"/>
      <w:bookmarkStart w:id="35" w:name="_Toc492155378"/>
      <w:bookmarkStart w:id="36" w:name="_Toc492155494"/>
      <w:bookmarkStart w:id="37" w:name="_Toc492155551"/>
      <w:bookmarkStart w:id="38" w:name="_Toc492282031"/>
      <w:bookmarkStart w:id="39" w:name="_Toc492282100"/>
      <w:bookmarkStart w:id="40" w:name="_Toc492151835"/>
      <w:bookmarkStart w:id="41" w:name="_Toc492152618"/>
      <w:bookmarkStart w:id="42" w:name="_Toc492152926"/>
      <w:bookmarkStart w:id="43" w:name="_Toc492154189"/>
      <w:bookmarkStart w:id="44" w:name="_Toc492154891"/>
      <w:bookmarkStart w:id="45" w:name="_Toc492155026"/>
      <w:bookmarkStart w:id="46" w:name="_Toc492155084"/>
      <w:bookmarkStart w:id="47" w:name="_Toc492155143"/>
      <w:bookmarkStart w:id="48" w:name="_Toc492155202"/>
      <w:bookmarkStart w:id="49" w:name="_Toc492155260"/>
      <w:bookmarkStart w:id="50" w:name="_Toc492155319"/>
      <w:bookmarkStart w:id="51" w:name="_Toc492155379"/>
      <w:bookmarkStart w:id="52" w:name="_Toc492155495"/>
      <w:bookmarkStart w:id="53" w:name="_Toc492155552"/>
      <w:bookmarkStart w:id="54" w:name="_Toc492282032"/>
      <w:bookmarkStart w:id="55" w:name="_Toc492282101"/>
      <w:bookmarkStart w:id="56" w:name="_Toc49963126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E5D9D">
        <w:lastRenderedPageBreak/>
        <w:t>Statement from</w:t>
      </w:r>
      <w:r w:rsidR="00077BCE">
        <w:t xml:space="preserve"> </w:t>
      </w:r>
      <w:r w:rsidR="001D176A">
        <w:t>Austria</w:t>
      </w:r>
      <w:r w:rsidR="00BF3641">
        <w:t xml:space="preserve"> </w:t>
      </w:r>
      <w:r w:rsidR="0021004A">
        <w:t>on</w:t>
      </w:r>
      <w:r w:rsidR="007E5D9D">
        <w:t xml:space="preserve"> the conclusions presented by the TERT</w:t>
      </w:r>
      <w:bookmarkEnd w:id="56"/>
    </w:p>
    <w:p w:rsidR="0021004A" w:rsidRPr="0021004A" w:rsidRDefault="001D176A" w:rsidP="0021004A">
      <w:pPr>
        <w:pStyle w:val="StandardNum"/>
        <w:rPr>
          <w:bCs w:val="0"/>
        </w:rPr>
      </w:pPr>
      <w:r>
        <w:t xml:space="preserve">Austria agrees with the calculated estimates in Table 2. </w:t>
      </w:r>
    </w:p>
    <w:p w:rsidR="0021004A" w:rsidRDefault="0021004A" w:rsidP="0021004A">
      <w:pPr>
        <w:pStyle w:val="StandardNum"/>
        <w:numPr>
          <w:ilvl w:val="0"/>
          <w:numId w:val="0"/>
        </w:numPr>
        <w:ind w:left="360" w:hanging="360"/>
      </w:pPr>
    </w:p>
    <w:p w:rsidR="007E5D9D" w:rsidRDefault="007E5D9D">
      <w:pPr>
        <w:sectPr w:rsidR="007E5D9D" w:rsidSect="00190B13">
          <w:footerReference w:type="default" r:id="rId12"/>
          <w:pgSz w:w="11906" w:h="16838"/>
          <w:pgMar w:top="1440" w:right="1274" w:bottom="1440" w:left="1440" w:header="708" w:footer="708" w:gutter="0"/>
          <w:cols w:space="708"/>
          <w:docGrid w:linePitch="360"/>
        </w:sectPr>
      </w:pPr>
    </w:p>
    <w:p w:rsidR="00207111" w:rsidRDefault="00207111" w:rsidP="00207111">
      <w:pPr>
        <w:pStyle w:val="Heading1"/>
      </w:pPr>
      <w:bookmarkStart w:id="57" w:name="_Toc499631266"/>
      <w:r w:rsidRPr="00207111">
        <w:lastRenderedPageBreak/>
        <w:t>Recommendations from the TERT</w:t>
      </w:r>
      <w:bookmarkEnd w:id="57"/>
    </w:p>
    <w:p w:rsidR="00E237E2" w:rsidRDefault="00E237E2" w:rsidP="00207111"/>
    <w:p w:rsidR="00E237E2" w:rsidRDefault="00E237E2" w:rsidP="00207111">
      <w:pPr>
        <w:pStyle w:val="Heading2"/>
      </w:pPr>
      <w:bookmarkStart w:id="58" w:name="_Toc499631267"/>
      <w:r w:rsidRPr="00E237E2">
        <w:t xml:space="preserve">Recommendations </w:t>
      </w:r>
      <w:r>
        <w:t>including</w:t>
      </w:r>
      <w:r w:rsidRPr="00E237E2">
        <w:t xml:space="preserve"> revised estimates and technical corrections</w:t>
      </w:r>
      <w:bookmarkEnd w:id="58"/>
    </w:p>
    <w:p w:rsidR="00E237E2" w:rsidRPr="00E237E2" w:rsidRDefault="00E237E2" w:rsidP="00E237E2"/>
    <w:p w:rsidR="00496C95" w:rsidRDefault="00C956A7" w:rsidP="00C2254F">
      <w:pPr>
        <w:pStyle w:val="Caption"/>
      </w:pPr>
      <w:bookmarkStart w:id="59" w:name="_Ref477427078"/>
      <w:bookmarkStart w:id="60" w:name="_Toc499631316"/>
      <w:r>
        <w:t xml:space="preserve">Table </w:t>
      </w:r>
      <w:r w:rsidR="00AE4156">
        <w:fldChar w:fldCharType="begin"/>
      </w:r>
      <w:r w:rsidR="001F4C43">
        <w:instrText xml:space="preserve"> SEQ Table \* ARABIC </w:instrText>
      </w:r>
      <w:r w:rsidR="00AE4156">
        <w:fldChar w:fldCharType="separate"/>
      </w:r>
      <w:r w:rsidR="00C07297">
        <w:rPr>
          <w:noProof/>
        </w:rPr>
        <w:t>3</w:t>
      </w:r>
      <w:r w:rsidR="00AE4156">
        <w:rPr>
          <w:noProof/>
        </w:rPr>
        <w:fldChar w:fldCharType="end"/>
      </w:r>
      <w:bookmarkEnd w:id="59"/>
      <w:r w:rsidR="00496C95" w:rsidRPr="00B34B14">
        <w:t xml:space="preserve">: Recommendations from </w:t>
      </w:r>
      <w:r w:rsidR="007E5D9D">
        <w:t>TERT</w:t>
      </w:r>
      <w:r w:rsidR="007E5D9D" w:rsidRPr="007E5D9D">
        <w:t>, considering revised estimates</w:t>
      </w:r>
      <w:r w:rsidR="007E5D9D">
        <w:t xml:space="preserve"> (RE</w:t>
      </w:r>
      <w:r w:rsidR="00263C8D">
        <w:t>) and</w:t>
      </w:r>
      <w:r w:rsidR="007E5D9D" w:rsidRPr="007E5D9D">
        <w:t xml:space="preserve"> technical corrections</w:t>
      </w:r>
      <w:r w:rsidR="007E5D9D">
        <w:t xml:space="preserve"> (TC)</w:t>
      </w:r>
      <w:bookmarkEnd w:id="60"/>
      <w:r w:rsidR="007E5D9D" w:rsidRPr="007E5D9D">
        <w:t xml:space="preserve"> </w:t>
      </w:r>
    </w:p>
    <w:tbl>
      <w:tblPr>
        <w:tblW w:w="5000" w:type="pct"/>
        <w:tblLook w:val="04A0" w:firstRow="1" w:lastRow="0" w:firstColumn="1" w:lastColumn="0" w:noHBand="0" w:noVBand="1"/>
      </w:tblPr>
      <w:tblGrid>
        <w:gridCol w:w="1939"/>
        <w:gridCol w:w="1242"/>
        <w:gridCol w:w="2316"/>
        <w:gridCol w:w="7895"/>
        <w:gridCol w:w="782"/>
      </w:tblGrid>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000000" w:fill="BDD7EE"/>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Observation</w:t>
            </w:r>
          </w:p>
        </w:tc>
        <w:tc>
          <w:tcPr>
            <w:tcW w:w="438" w:type="pct"/>
            <w:tcBorders>
              <w:top w:val="single" w:sz="4" w:space="0" w:color="auto"/>
              <w:left w:val="single" w:sz="4" w:space="0" w:color="auto"/>
              <w:bottom w:val="single" w:sz="4" w:space="0" w:color="auto"/>
              <w:right w:val="single" w:sz="4" w:space="0" w:color="auto"/>
            </w:tcBorders>
            <w:shd w:val="clear" w:color="000000" w:fill="BDD7EE"/>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Key Category</w:t>
            </w:r>
          </w:p>
        </w:tc>
        <w:tc>
          <w:tcPr>
            <w:tcW w:w="817" w:type="pct"/>
            <w:tcBorders>
              <w:top w:val="single" w:sz="4" w:space="0" w:color="auto"/>
              <w:left w:val="single" w:sz="4" w:space="0" w:color="auto"/>
              <w:bottom w:val="single" w:sz="4" w:space="0" w:color="auto"/>
              <w:right w:val="single" w:sz="4" w:space="0" w:color="auto"/>
            </w:tcBorders>
            <w:shd w:val="clear" w:color="000000" w:fill="BDD7EE"/>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NFR, Pollutant(s), Year(s)</w:t>
            </w:r>
          </w:p>
        </w:tc>
        <w:tc>
          <w:tcPr>
            <w:tcW w:w="2785" w:type="pct"/>
            <w:tcBorders>
              <w:top w:val="single" w:sz="4" w:space="0" w:color="auto"/>
              <w:left w:val="single" w:sz="4" w:space="0" w:color="auto"/>
              <w:bottom w:val="single" w:sz="4" w:space="0" w:color="auto"/>
              <w:right w:val="single" w:sz="4" w:space="0" w:color="auto"/>
            </w:tcBorders>
            <w:shd w:val="clear" w:color="000000" w:fill="BDD7EE"/>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Recommendation</w:t>
            </w:r>
          </w:p>
        </w:tc>
        <w:tc>
          <w:tcPr>
            <w:tcW w:w="276" w:type="pct"/>
            <w:tcBorders>
              <w:top w:val="single" w:sz="4" w:space="0" w:color="auto"/>
              <w:left w:val="single" w:sz="4" w:space="0" w:color="auto"/>
              <w:bottom w:val="single" w:sz="4" w:space="0" w:color="auto"/>
              <w:right w:val="single" w:sz="4" w:space="0" w:color="auto"/>
            </w:tcBorders>
            <w:shd w:val="clear" w:color="000000" w:fill="BDD7EE"/>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RE or TC</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AT-1A1-2017-0002</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1A1 Energy Production,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xml:space="preserve">, NMVOC,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2000-2015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61682F">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For 1A1 Energy Production,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xml:space="preserve">, NMVOC,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from 2000-2015 the TERT noted that in the IIR, it is not clear where fuel consumption for auto-producers of electricity and CHP (combined heat and power plants) are taken into account in the inventory. In response to a question raised during the review, Austria explained that industrial auto-producers are allocated to the industrial categories (1A2a Iron and Steel to 1A2g Other) together with final energy use. Austria also explained that the energy statistics office provides detailed fuel consumption used for auto-production by industrial sector. The TERT accepted the explanation provided by Austria. The TERT noted that the issue does not relate to an over or underestimate and recommends that Austria includes this explanation in its next IIR submission to improve transparency.</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AT-1A1-2017-0003</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Yes</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1A1 Energy Production,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2005-2015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61682F">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For NFR 1A1 Energy Production (including waste incineration with heat recovery) and 1A2 Stationary Combustion in Manufacturing Industries and Construction for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2005-2015, the TERT noted that Austria is estimating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and TSP emissions using annual emissions reported by operators on the basis of stack measurements. When continuously measurements are used to estimate annual emissions, there is a risk that operators have misinterpreted the IED and have used validated average values (after having subtracted the value of the confidence interval) although this subtraction must not be applied in the context of reporting annual emissions. In response to a question raised during the review, Austria admits that misinterpretation of the IED and use of validated average values (after subtracting the value of the confidence interval) could have happened. However, </w:t>
            </w:r>
            <w:r w:rsidRPr="00F36B58">
              <w:rPr>
                <w:rFonts w:ascii="Calibri" w:eastAsia="Times New Roman" w:hAnsi="Calibri" w:cs="Calibri"/>
                <w:color w:val="000000"/>
                <w:lang w:eastAsia="en-GB"/>
              </w:rPr>
              <w:lastRenderedPageBreak/>
              <w:t xml:space="preserve">Austria indicates that it would probably introduce another bias if it would be assumed that such approach incoherent with regulations has been used generally. In order to avoid any such approach in the future, Austria </w:t>
            </w:r>
            <w:r w:rsidR="005B4318">
              <w:rPr>
                <w:rFonts w:ascii="Calibri" w:eastAsia="Times New Roman" w:hAnsi="Calibri" w:cs="Calibri"/>
                <w:color w:val="000000"/>
                <w:lang w:eastAsia="en-GB"/>
              </w:rPr>
              <w:t>plans</w:t>
            </w:r>
            <w:r w:rsidRPr="00F36B58">
              <w:rPr>
                <w:rFonts w:ascii="Calibri" w:eastAsia="Times New Roman" w:hAnsi="Calibri" w:cs="Calibri"/>
                <w:color w:val="000000"/>
                <w:lang w:eastAsia="en-GB"/>
              </w:rPr>
              <w:t xml:space="preserve"> a quality review of the data provided from operators. In the opinion of the TERT, bottom-up data based on the "validated average values" defined in the IED cannot be used by the inventory team without adjustment in the framework of a national inventory. The TERT notes that this issue relates to an underestimate, which could correspond to 20% of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20% of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Pr="00F36B58">
              <w:rPr>
                <w:rFonts w:ascii="Calibri" w:eastAsia="Times New Roman" w:hAnsi="Calibri" w:cs="Calibri"/>
                <w:color w:val="000000"/>
                <w:lang w:eastAsia="en-GB"/>
              </w:rPr>
              <w:t>, 30% of dust of the sector (depending on the fraction of the operators subtracting confidence interval). The TERT agrees with Austria’s initiative to perform a review and recommends Austria to organise this survey among operators to identify which ones are reporting emissions on the basis of the validated average values.  If necessary Austria should try to derive a methodology to adjust the national emissions over the time series in order to compensate for the fact that national emissions are estimated on the basis of data reported by operators using validated average values.</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lastRenderedPageBreak/>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AT-1A2-2017-0001</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Yes</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1A2 Stationary Combustion in Manufacturing Industries and Construction,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2000-2015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61682F">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The TERT noted that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emissions from natural gas are not estimated for 2000 - 2015 for several NFR categories [see observations NFR 1A1a Public Electricity and Heat Production (AT-1A1a-2017-0001), NFR 1A2 Manufacturing Industries and Construction (AT-1A2-2017-0001), NFR 1A4 Small Combustion and Non-road Mobile Machinery (AT-1A4bi-2017-0001), NFR 1A1c Manufacture of Solid Fuel and Other Energy Industries (AT-1A1c-2017-0001)]. In response to a question raised during the review, Austria explained that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from natural gas is considered negligible in the Austrian inventory because the sulphur content is very low.  However, Austria provided a revised estimate for years 2005/2010/2015 based on national natural gas consumption in Austria and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EF from the 2016 EMEP/EEA Guidebook. The TERT agreed with the revised estimate provided by Austria. The TERT notes that the revised estimate is under the threshold of significance for all years. The TERT recommends that Austria includes the revised estimate in its next submission.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RE</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AT-1B2d-2017-0001</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1B2d Other Fugitive Emissions from Energy Production,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xml:space="preserve">, NMVOC,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2005-2015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6F6ABD">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For category 1B2d Other Fugitive Emissions from Energy Production and pollutant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xml:space="preserve"> for all years the TERT noted that emissions are reported as ‘NO’ (Not Occurring) while electricity production using geothermal energy is occurring in Austria according to the Eurostat energy balances. In response to a question raised during the review, Austria explained that emissions from this source are investigated and found to be negligible. The TERT agrees that emissions are unlikely to be above the threshold of </w:t>
            </w:r>
            <w:r w:rsidRPr="00F36B58">
              <w:rPr>
                <w:rFonts w:ascii="Calibri" w:eastAsia="Times New Roman" w:hAnsi="Calibri" w:cs="Calibri"/>
                <w:color w:val="000000"/>
                <w:lang w:eastAsia="en-GB"/>
              </w:rPr>
              <w:lastRenderedPageBreak/>
              <w:t>significance.  However, The TERT recommends Austria to quantify and report emissions from this source in future submissions. In case this is not possible, the TERT recommends Austria to change the notation key to ‘NE’ (Not Estimated) and explain the reason in the IIR.</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lastRenderedPageBreak/>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AT-2B10a-2017-0002</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503626" w:rsidP="00F36B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2B10a Chemical industry: Other</w:t>
            </w:r>
            <w:r w:rsidR="0061682F">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00F36B58"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NO</w:t>
            </w:r>
            <w:r w:rsidR="0057457C" w:rsidRPr="0057457C">
              <w:rPr>
                <w:rFonts w:ascii="Calibri" w:eastAsia="Times New Roman" w:hAnsi="Calibri" w:cs="Calibri"/>
                <w:color w:val="000000"/>
                <w:vertAlign w:val="subscript"/>
                <w:lang w:eastAsia="en-GB"/>
              </w:rPr>
              <w:t>X</w:t>
            </w:r>
            <w:r w:rsidR="00F36B58" w:rsidRPr="00F36B58">
              <w:rPr>
                <w:rFonts w:ascii="Calibri" w:eastAsia="Times New Roman" w:hAnsi="Calibri" w:cs="Calibri"/>
                <w:color w:val="000000"/>
                <w:lang w:eastAsia="en-GB"/>
              </w:rPr>
              <w:t>, NMVOC, 2000-2015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61682F">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For NMVOC emissions from category 2B10a Chemical industry: Other, the TERT noted that in response to a question raised during the review Austria explained that NMVOC emissions in 2B10a all originate from the production of organic bulk chemicals. Austria also explained that the facility technologies used in the production processes have changed over time and that the country specific emission factor and NMVOC emissions are therefore assumed to be significantly overestimated for recent years. The TERT noted that the NMVOC emission from 2B10a is 1.0-1.2% of national total NMVOC emission for 2005-2015, and hence, even a significant lowering of emissions would be below the threshold of significance for a technical correction. The TERT recommends that Austria review and revise its country specific NMVOC emission factor for production of organic bulk chemicals for the next submission.</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AT-2C3-2017-0001</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2C3 Aluminium Production,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2000-2015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E97C8E">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For category 2C3 Aluminium Production all years the TERT noted that Austria has not estimated an emission of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In response to a question raised during the review Austria provided a rough estimated emission for 2015 to prove that this underestimate is below the threshold of significance. Austria also explained that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emissions will be included in the next submission. The TERT agrees that the issue is below the threshold of significance for a technical correction. The TERT recommends that Austria update the calculations for non-ferrous metals for the next inventory submission to include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emissions from secondary aluminium production.</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AT-2C5-2017-0005</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2C5 Lead Production, </w:t>
            </w:r>
            <w:r w:rsidR="0057457C" w:rsidRPr="0057457C">
              <w:rPr>
                <w:rFonts w:ascii="Calibri" w:eastAsia="Times New Roman" w:hAnsi="Calibri" w:cs="Calibri"/>
                <w:color w:val="000000"/>
                <w:lang w:eastAsia="en-GB"/>
              </w:rPr>
              <w:t>SO</w:t>
            </w:r>
            <w:r w:rsidR="0057457C" w:rsidRPr="0057457C">
              <w:rPr>
                <w:rFonts w:ascii="Calibri" w:eastAsia="Times New Roman" w:hAnsi="Calibri" w:cs="Calibri"/>
                <w:color w:val="000000"/>
                <w:vertAlign w:val="subscript"/>
                <w:lang w:eastAsia="en-GB"/>
              </w:rPr>
              <w:t>2</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2000-2015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E97C8E">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For category 2C5 Lead Production all years the TERT noted that in response to a question raised during the review Austria explained that secondary lead is produced using “current technology level” (i.e. short rotary furnace with additional abatement technologies) and that Austria plans to update the calculations in this sector to include it for the next inventory. The TERT noted that the issue is below the threshold of significance for a technical correction. The TERT recommends that emissions from secondary lead production are included in the next submission.</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AT-3B-2017-0003</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Yes</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3B Manure Management, NMVOC, 2000-2015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The TERT noted that NMVOC is not estimated for 3B Manure Management, but that Tier 1 and Tier 2 methodologies are available in the 2016 EMEP/EEA Guidebook Table 3.4 (Tier 1) and Table 3.11 plus 3.12 (Tier 2) as well as the 2013 EMEP/EEA </w:t>
            </w:r>
            <w:r w:rsidRPr="00F36B58">
              <w:rPr>
                <w:rFonts w:ascii="Calibri" w:eastAsia="Times New Roman" w:hAnsi="Calibri" w:cs="Calibri"/>
                <w:color w:val="000000"/>
                <w:lang w:eastAsia="en-GB"/>
              </w:rPr>
              <w:lastRenderedPageBreak/>
              <w:t xml:space="preserve">Guidebook. In response to a question raised during the review, Austria confirmed plans to report NMVOC emissions for sector 3B Manure Management in its next submission. The TERT recommends that Austria estimate the NMVOC emission from 3B based on Tier 1 approach, and Tier 2 approach for livestock categories which is considered a key source.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lastRenderedPageBreak/>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AT-3Da1-2017-0002</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Yes</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3Da1 Inorganic N-fertilizers (includes also urea application),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2000-2015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E97C8E">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TERT noticed that the emissions of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from field operations (Austria allocated the emissions in NFR 3Da2a) </w:t>
            </w:r>
            <w:r w:rsidR="005B4318">
              <w:rPr>
                <w:rFonts w:ascii="Calibri" w:eastAsia="Times New Roman" w:hAnsi="Calibri" w:cs="Calibri"/>
                <w:color w:val="000000"/>
                <w:lang w:eastAsia="en-GB"/>
              </w:rPr>
              <w:t>are</w:t>
            </w:r>
            <w:r w:rsidR="005B4318" w:rsidRPr="00F36B58">
              <w:rPr>
                <w:rFonts w:ascii="Calibri" w:eastAsia="Times New Roman" w:hAnsi="Calibri" w:cs="Calibri"/>
                <w:color w:val="000000"/>
                <w:lang w:eastAsia="en-GB"/>
              </w:rPr>
              <w:t xml:space="preserve"> </w:t>
            </w:r>
            <w:r w:rsidRPr="00F36B58">
              <w:rPr>
                <w:rFonts w:ascii="Calibri" w:eastAsia="Times New Roman" w:hAnsi="Calibri" w:cs="Calibri"/>
                <w:color w:val="000000"/>
                <w:lang w:eastAsia="en-GB"/>
              </w:rPr>
              <w:t xml:space="preserve">significantly higher than the Tier 1 default (2016 EMEP/EEA Guidebook 3D Table 3.1) for 2005, 2010 and 2015. The TERT calculated the emissions based on a Tier 1 approach and the changes in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emissions correspond to a change of 4.8% of the total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emission, which is above the threshold of significance set for technical corrections. In response to a question raised during the review Austria provided a revised estimate for emissions of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10</w:t>
            </w:r>
            <w:r w:rsidRPr="00F36B58">
              <w:rPr>
                <w:rFonts w:ascii="Calibri" w:eastAsia="Times New Roman" w:hAnsi="Calibri" w:cs="Calibri"/>
                <w:color w:val="000000"/>
                <w:lang w:eastAsia="en-GB"/>
              </w:rPr>
              <w:t xml:space="preserve"> and TSP for the years 1990-2015. The TERT agreed with the revised estimate provided by Austria. The TERT recommends that Austria include the revised estimate in its next submission.</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RE</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AT-5B2-2017-0001</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5B2 Biological Treatment of Waste - Anaerobic Digestion at Biogas Facilities,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2005;2010;2015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E97C8E">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For category 5B2 Biological Treatment of Waste - Anaerobic Digestion at Biogas Facilities, the TERT noted that, in response to a question raised during the review, Austria provided a rough estimate of the order of magnitude of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xml:space="preserve"> emissions. Austria also indicated that, given the small contribution of the sector to national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xml:space="preserve"> emissions, it will include a Tier 1 estimate in its next submission. The TERT noted that the issue is below the threshold of significance for a technical correction. The TERT encourages Austria to include </w:t>
            </w:r>
            <w:r w:rsidR="0057457C" w:rsidRPr="0057457C">
              <w:rPr>
                <w:rFonts w:ascii="Calibri" w:eastAsia="Times New Roman" w:hAnsi="Calibri" w:cs="Calibri"/>
                <w:color w:val="000000"/>
                <w:lang w:eastAsia="en-GB"/>
              </w:rPr>
              <w:t>NH</w:t>
            </w:r>
            <w:r w:rsidR="0057457C" w:rsidRPr="0057457C">
              <w:rPr>
                <w:rFonts w:ascii="Calibri" w:eastAsia="Times New Roman" w:hAnsi="Calibri" w:cs="Calibri"/>
                <w:color w:val="000000"/>
                <w:vertAlign w:val="subscript"/>
                <w:lang w:eastAsia="en-GB"/>
              </w:rPr>
              <w:t>3</w:t>
            </w:r>
            <w:r w:rsidRPr="00F36B58">
              <w:rPr>
                <w:rFonts w:ascii="Calibri" w:eastAsia="Times New Roman" w:hAnsi="Calibri" w:cs="Calibri"/>
                <w:color w:val="000000"/>
                <w:lang w:eastAsia="en-GB"/>
              </w:rPr>
              <w:t xml:space="preserve"> emissions from 5B2 in its next submission as committed.</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AT-5D-2017-0001</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5D Wastewater Handling, NMVOC, 2005;2010;2015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E97C8E">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For 5D1 Wastewater Handling NMVOC for 2005, 2010, 2015, in response to a question raised during the review, Austria indicated that it includes all wastewater in its AD for wastewater treatment plant (including wastewater treated in individual septic systems). The TERT notes that, while there could be some NMVOC emitted from individual septic systems (in very small quantities when considering anaerobic treatment such as septic tanks), that the EF is much smaller than that for centralised treatment plant and therefore the AD for these should be excluded from the estimate. The TERT considers that the default EF, derived from a study of a sewage treatment plant, has to be applied only to centralised wastewater treatment plants. The TERT noted that the Austrian over estimation is below the threshold of significance. The TERT recommends that Austria checks the literature used to derive </w:t>
            </w:r>
            <w:r w:rsidRPr="00F36B58">
              <w:rPr>
                <w:rFonts w:ascii="Calibri" w:eastAsia="Times New Roman" w:hAnsi="Calibri" w:cs="Calibri"/>
                <w:color w:val="000000"/>
                <w:lang w:eastAsia="en-GB"/>
              </w:rPr>
              <w:lastRenderedPageBreak/>
              <w:t xml:space="preserve">the EF and applies the default EF only to wastewater handled in centralised wastewater treatment plants. </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lastRenderedPageBreak/>
              <w:t>no</w:t>
            </w:r>
          </w:p>
        </w:tc>
      </w:tr>
      <w:tr w:rsidR="00F36B58"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AT-5E-2017-0001</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503626" w:rsidP="00F36B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5E Other Waste</w:t>
            </w:r>
            <w:r w:rsidR="00995877">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00F36B58" w:rsidRPr="00F36B58">
              <w:rPr>
                <w:rFonts w:ascii="Calibri" w:eastAsia="Times New Roman" w:hAnsi="Calibri" w:cs="Calibri"/>
                <w:color w:val="000000"/>
                <w:lang w:eastAsia="en-GB"/>
              </w:rPr>
              <w:t>, 2005;2010;2015</w:t>
            </w:r>
          </w:p>
        </w:tc>
        <w:tc>
          <w:tcPr>
            <w:tcW w:w="2785"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E97C8E">
            <w:pPr>
              <w:spacing w:after="0" w:line="240" w:lineRule="auto"/>
              <w:jc w:val="both"/>
              <w:rPr>
                <w:rFonts w:ascii="Calibri" w:eastAsia="Times New Roman" w:hAnsi="Calibri" w:cs="Calibri"/>
                <w:color w:val="000000"/>
                <w:lang w:eastAsia="en-GB"/>
              </w:rPr>
            </w:pPr>
            <w:r w:rsidRPr="00F36B58">
              <w:rPr>
                <w:rFonts w:ascii="Calibri" w:eastAsia="Times New Roman" w:hAnsi="Calibri" w:cs="Calibri"/>
                <w:color w:val="000000"/>
                <w:lang w:eastAsia="en-GB"/>
              </w:rPr>
              <w:t xml:space="preserve">For 5E the TERT noted that the notation key "NO" is reported in the NFR tables.  The TERT considered that it is unlikely that Austria does not have emissions </w:t>
            </w:r>
            <w:r w:rsidR="00E71B9A" w:rsidRPr="00F36B58">
              <w:rPr>
                <w:rFonts w:ascii="Calibri" w:eastAsia="Times New Roman" w:hAnsi="Calibri" w:cs="Calibri"/>
                <w:color w:val="000000"/>
                <w:lang w:eastAsia="en-GB"/>
              </w:rPr>
              <w:t>from accidental</w:t>
            </w:r>
            <w:r w:rsidRPr="00F36B58">
              <w:rPr>
                <w:rFonts w:ascii="Calibri" w:eastAsia="Times New Roman" w:hAnsi="Calibri" w:cs="Calibri"/>
                <w:color w:val="000000"/>
                <w:lang w:eastAsia="en-GB"/>
              </w:rPr>
              <w:t xml:space="preserve"> car and house fires. In response to a question raised during the review Austria provided a revised estimate for the years 2005, 2010 and 2015 which was accepted by the TERT. The TERT noted that the issue is below the threshold of significance for a technical correction but recommends that Austria includes an estimation of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F36B58">
              <w:rPr>
                <w:rFonts w:ascii="Calibri" w:eastAsia="Times New Roman" w:hAnsi="Calibri" w:cs="Calibri"/>
                <w:color w:val="000000"/>
                <w:lang w:eastAsia="en-GB"/>
              </w:rPr>
              <w:t xml:space="preserve"> from 5E in its next submission. </w:t>
            </w:r>
            <w:r w:rsidR="005B4318" w:rsidRPr="005B4318">
              <w:rPr>
                <w:rFonts w:ascii="Calibri" w:eastAsia="Times New Roman" w:hAnsi="Calibri" w:cs="Calibri"/>
                <w:color w:val="000000"/>
                <w:lang w:eastAsia="en-GB"/>
              </w:rPr>
              <w:t xml:space="preserve">Austria notes that that it is unlikely that all particles </w:t>
            </w:r>
            <w:r w:rsidR="00E71B9A" w:rsidRPr="005B4318">
              <w:rPr>
                <w:rFonts w:ascii="Calibri" w:eastAsia="Times New Roman" w:hAnsi="Calibri" w:cs="Calibri"/>
                <w:color w:val="000000"/>
                <w:lang w:eastAsia="en-GB"/>
              </w:rPr>
              <w:t>fulfil</w:t>
            </w:r>
            <w:r w:rsidR="005B4318" w:rsidRPr="005B4318">
              <w:rPr>
                <w:rFonts w:ascii="Calibri" w:eastAsia="Times New Roman" w:hAnsi="Calibri" w:cs="Calibri"/>
                <w:color w:val="000000"/>
                <w:lang w:eastAsia="en-GB"/>
              </w:rPr>
              <w:t xml:space="preserve"> the definition of PM2.</w:t>
            </w:r>
            <w:r w:rsidR="00E71B9A" w:rsidRPr="005B4318">
              <w:rPr>
                <w:rFonts w:ascii="Calibri" w:eastAsia="Times New Roman" w:hAnsi="Calibri" w:cs="Calibri"/>
                <w:color w:val="000000"/>
                <w:lang w:eastAsia="en-GB"/>
              </w:rPr>
              <w:t>5 and</w:t>
            </w:r>
            <w:r w:rsidR="005B4318" w:rsidRPr="005B4318">
              <w:rPr>
                <w:rFonts w:ascii="Calibri" w:eastAsia="Times New Roman" w:hAnsi="Calibri" w:cs="Calibri"/>
                <w:color w:val="000000"/>
                <w:lang w:eastAsia="en-GB"/>
              </w:rPr>
              <w:t xml:space="preserve"> suggests that the shares of PM10 and PM2.5 in TSP in these uncontrolled combustion processes should be investigated within the next update of the EMEP/EEA Guidebook.</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F36B58" w:rsidRPr="00F36B58" w:rsidRDefault="00F36B58" w:rsidP="00F36B58">
            <w:pPr>
              <w:spacing w:after="0" w:line="240" w:lineRule="auto"/>
              <w:rPr>
                <w:rFonts w:ascii="Calibri" w:eastAsia="Times New Roman" w:hAnsi="Calibri" w:cs="Calibri"/>
                <w:color w:val="000000"/>
                <w:lang w:eastAsia="en-GB"/>
              </w:rPr>
            </w:pPr>
            <w:r w:rsidRPr="00F36B58">
              <w:rPr>
                <w:rFonts w:ascii="Calibri" w:eastAsia="Times New Roman" w:hAnsi="Calibri" w:cs="Calibri"/>
                <w:color w:val="000000"/>
                <w:lang w:eastAsia="en-GB"/>
              </w:rPr>
              <w:t>RE</w:t>
            </w:r>
          </w:p>
        </w:tc>
      </w:tr>
      <w:tr w:rsidR="00C82D4A" w:rsidRPr="00F36B58" w:rsidTr="00F36B58">
        <w:trPr>
          <w:trHeight w:val="20"/>
        </w:trPr>
        <w:tc>
          <w:tcPr>
            <w:tcW w:w="684" w:type="pct"/>
            <w:tcBorders>
              <w:top w:val="single" w:sz="4" w:space="0" w:color="auto"/>
              <w:left w:val="single" w:sz="4" w:space="0" w:color="auto"/>
              <w:bottom w:val="single" w:sz="4" w:space="0" w:color="auto"/>
              <w:right w:val="single" w:sz="4" w:space="0" w:color="auto"/>
            </w:tcBorders>
            <w:shd w:val="clear" w:color="auto" w:fill="auto"/>
          </w:tcPr>
          <w:p w:rsidR="00C82D4A" w:rsidRPr="00F36B58" w:rsidRDefault="00171602" w:rsidP="00F36B58">
            <w:pPr>
              <w:spacing w:after="0" w:line="240" w:lineRule="auto"/>
              <w:rPr>
                <w:rFonts w:ascii="Calibri" w:eastAsia="Times New Roman" w:hAnsi="Calibri" w:cs="Calibri"/>
                <w:color w:val="000000"/>
                <w:lang w:eastAsia="en-GB"/>
              </w:rPr>
            </w:pPr>
            <w:r w:rsidRPr="00171602">
              <w:rPr>
                <w:rFonts w:ascii="Calibri" w:eastAsia="Times New Roman" w:hAnsi="Calibri" w:cs="Calibri"/>
                <w:color w:val="000000"/>
                <w:lang w:eastAsia="en-GB"/>
              </w:rPr>
              <w:t>AT-NatTot-2017-0001</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C82D4A" w:rsidRPr="00F36B58" w:rsidRDefault="00171602" w:rsidP="00F36B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C82D4A" w:rsidRDefault="00C82D4A" w:rsidP="00F36B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 total for compliance, NO</w:t>
            </w:r>
            <w:r w:rsidRPr="00C82D4A">
              <w:rPr>
                <w:rFonts w:ascii="Calibri" w:eastAsia="Times New Roman" w:hAnsi="Calibri" w:cs="Calibri"/>
                <w:color w:val="000000"/>
                <w:vertAlign w:val="subscript"/>
                <w:lang w:eastAsia="en-GB"/>
              </w:rPr>
              <w:t>x</w:t>
            </w:r>
            <w:r>
              <w:rPr>
                <w:rFonts w:ascii="Calibri" w:eastAsia="Times New Roman" w:hAnsi="Calibri" w:cs="Calibri"/>
                <w:color w:val="000000"/>
                <w:lang w:eastAsia="en-GB"/>
              </w:rPr>
              <w:t>, NMVOC, 2005, 2010, 2015</w:t>
            </w:r>
          </w:p>
        </w:tc>
        <w:tc>
          <w:tcPr>
            <w:tcW w:w="2785" w:type="pct"/>
            <w:tcBorders>
              <w:top w:val="single" w:sz="4" w:space="0" w:color="auto"/>
              <w:left w:val="single" w:sz="4" w:space="0" w:color="auto"/>
              <w:bottom w:val="single" w:sz="4" w:space="0" w:color="auto"/>
              <w:right w:val="single" w:sz="4" w:space="0" w:color="auto"/>
            </w:tcBorders>
            <w:shd w:val="clear" w:color="auto" w:fill="auto"/>
          </w:tcPr>
          <w:p w:rsidR="00C82D4A" w:rsidRPr="00F36B58" w:rsidRDefault="00C82D4A" w:rsidP="00C82D4A">
            <w:pPr>
              <w:spacing w:after="0" w:line="240" w:lineRule="auto"/>
              <w:jc w:val="both"/>
              <w:rPr>
                <w:rFonts w:ascii="Calibri" w:eastAsia="Times New Roman" w:hAnsi="Calibri" w:cs="Calibri"/>
                <w:color w:val="000000"/>
                <w:lang w:eastAsia="en-GB"/>
              </w:rPr>
            </w:pPr>
            <w:r>
              <w:t>The TERT noted that for the NO</w:t>
            </w:r>
            <w:r w:rsidRPr="00C72081">
              <w:rPr>
                <w:vertAlign w:val="subscript"/>
              </w:rPr>
              <w:t>x</w:t>
            </w:r>
            <w:r>
              <w:t xml:space="preserve"> and NMVOC national total for compliance emissions from the NFR sectors 3B and 3D were subtracted, which is not consistent with the NECD. </w:t>
            </w:r>
            <w:r w:rsidRPr="00C72081">
              <w:t xml:space="preserve">Article 4 </w:t>
            </w:r>
            <w:r>
              <w:t>Point 3</w:t>
            </w:r>
            <w:r w:rsidRPr="00C72081">
              <w:t>(d)</w:t>
            </w:r>
            <w:r>
              <w:t xml:space="preserve"> of the NECD states that</w:t>
            </w:r>
            <w:r w:rsidRPr="00C72081">
              <w:t xml:space="preserve"> emissions of NO</w:t>
            </w:r>
            <w:r w:rsidRPr="00C72081">
              <w:rPr>
                <w:vertAlign w:val="subscript"/>
              </w:rPr>
              <w:t>x</w:t>
            </w:r>
            <w:r w:rsidRPr="00C72081">
              <w:t xml:space="preserve"> and NMVOC from activities falling under NFR 3B and 3D are not accounted for the purpose of complying</w:t>
            </w:r>
            <w:r>
              <w:t xml:space="preserve"> with the National emission reduction commitments</w:t>
            </w:r>
            <w:r w:rsidRPr="00C72081">
              <w:t xml:space="preserve">. The National emission reduction commitments are </w:t>
            </w:r>
            <w:r>
              <w:t>only applicable starting in 2020 and</w:t>
            </w:r>
            <w:r w:rsidRPr="00C72081">
              <w:t xml:space="preserve"> therefore a subtraction is not </w:t>
            </w:r>
            <w:r w:rsidR="00A27018">
              <w:t xml:space="preserve">correct. </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C82D4A" w:rsidRPr="00F36B58" w:rsidRDefault="00B978F0" w:rsidP="00F36B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w:t>
            </w:r>
          </w:p>
        </w:tc>
      </w:tr>
    </w:tbl>
    <w:p w:rsidR="001D176A" w:rsidRDefault="001D176A" w:rsidP="00263C8D"/>
    <w:p w:rsidR="00E237E2" w:rsidRDefault="00E237E2" w:rsidP="00263C8D"/>
    <w:p w:rsidR="00E237E2" w:rsidRDefault="00E237E2">
      <w:r>
        <w:br w:type="page"/>
      </w:r>
    </w:p>
    <w:p w:rsidR="00E237E2" w:rsidRDefault="00E237E2" w:rsidP="00263C8D">
      <w:pPr>
        <w:pStyle w:val="Heading2"/>
        <w:numPr>
          <w:ilvl w:val="1"/>
          <w:numId w:val="10"/>
        </w:numPr>
      </w:pPr>
      <w:bookmarkStart w:id="61" w:name="_Toc499631268"/>
      <w:r w:rsidRPr="00E237E2">
        <w:lastRenderedPageBreak/>
        <w:t xml:space="preserve">Recommendations </w:t>
      </w:r>
      <w:r>
        <w:t>considering the use of the 2013 EMEP/EEA Guidebook</w:t>
      </w:r>
      <w:bookmarkEnd w:id="61"/>
    </w:p>
    <w:p w:rsidR="0076686C" w:rsidRDefault="005236FB" w:rsidP="00635C20">
      <w:pPr>
        <w:pStyle w:val="StandardNum"/>
      </w:pPr>
      <w:r w:rsidRPr="005236FB">
        <w:t>In accordance with the review Guidelines, to facilitate transparency, recommendations that relate to MS using methodologies presented in the 2013 version of the EMEP/EEA Emissions Inventory Guidebook have been grouped together and presented separately to other recommendations.</w:t>
      </w:r>
    </w:p>
    <w:p w:rsidR="005236FB" w:rsidRDefault="0076686C" w:rsidP="00635C20">
      <w:pPr>
        <w:pStyle w:val="StandardNum"/>
      </w:pPr>
      <w:r>
        <w:t xml:space="preserve">For the emission estimates presented in Table </w:t>
      </w:r>
      <w:r w:rsidR="006E7843">
        <w:t xml:space="preserve">4 </w:t>
      </w:r>
      <w:r>
        <w:t>below, the TERT recommend</w:t>
      </w:r>
      <w:r w:rsidR="006E7843">
        <w:t>s</w:t>
      </w:r>
      <w:r>
        <w:t xml:space="preserve"> that the methodologies used by the MS are updated from those presented in the 2013 version of the EMEP/EEA Guidebook to those used in the 2016 version of the EMEP/EEA Guidebook, or equivalent, and that this update is incorporated into the emissions inventory ahead of the next submission.</w:t>
      </w:r>
    </w:p>
    <w:p w:rsidR="00326918" w:rsidRDefault="00326918">
      <w:pPr>
        <w:rPr>
          <w:lang w:val="en-US"/>
        </w:rPr>
      </w:pPr>
    </w:p>
    <w:p w:rsidR="001D176A" w:rsidRDefault="002E512F" w:rsidP="002E512F">
      <w:bookmarkStart w:id="62" w:name="_Toc499631317"/>
      <w:r w:rsidRPr="00AA79B7">
        <w:rPr>
          <w:b/>
          <w:i/>
          <w:iCs/>
          <w:color w:val="44546A" w:themeColor="text2"/>
          <w:szCs w:val="18"/>
        </w:rPr>
        <w:t>T</w:t>
      </w:r>
      <w:r w:rsidRPr="002E512F">
        <w:rPr>
          <w:b/>
          <w:i/>
          <w:iCs/>
          <w:color w:val="44546A" w:themeColor="text2"/>
          <w:szCs w:val="18"/>
        </w:rPr>
        <w:t xml:space="preserve">able </w:t>
      </w:r>
      <w:r w:rsidR="00AE4156" w:rsidRPr="002E512F">
        <w:rPr>
          <w:b/>
          <w:i/>
          <w:iCs/>
          <w:color w:val="44546A" w:themeColor="text2"/>
          <w:szCs w:val="18"/>
        </w:rPr>
        <w:fldChar w:fldCharType="begin"/>
      </w:r>
      <w:r w:rsidRPr="002E512F">
        <w:rPr>
          <w:b/>
          <w:i/>
          <w:iCs/>
          <w:color w:val="44546A" w:themeColor="text2"/>
          <w:szCs w:val="18"/>
        </w:rPr>
        <w:instrText xml:space="preserve"> SEQ Table \* ARABIC </w:instrText>
      </w:r>
      <w:r w:rsidR="00AE4156" w:rsidRPr="002E512F">
        <w:rPr>
          <w:b/>
          <w:i/>
          <w:iCs/>
          <w:color w:val="44546A" w:themeColor="text2"/>
          <w:szCs w:val="18"/>
        </w:rPr>
        <w:fldChar w:fldCharType="separate"/>
      </w:r>
      <w:r w:rsidR="00C07297">
        <w:rPr>
          <w:b/>
          <w:i/>
          <w:iCs/>
          <w:noProof/>
          <w:color w:val="44546A" w:themeColor="text2"/>
          <w:szCs w:val="18"/>
        </w:rPr>
        <w:t>4</w:t>
      </w:r>
      <w:r w:rsidR="00AE4156" w:rsidRPr="002E512F">
        <w:rPr>
          <w:b/>
          <w:i/>
          <w:iCs/>
          <w:color w:val="44546A" w:themeColor="text2"/>
          <w:szCs w:val="18"/>
        </w:rPr>
        <w:fldChar w:fldCharType="end"/>
      </w:r>
      <w:r w:rsidRPr="002E512F">
        <w:rPr>
          <w:b/>
          <w:i/>
          <w:iCs/>
          <w:color w:val="44546A" w:themeColor="text2"/>
          <w:szCs w:val="18"/>
        </w:rPr>
        <w:t>:</w:t>
      </w:r>
      <w:r w:rsidR="00A46AA0">
        <w:rPr>
          <w:b/>
          <w:i/>
          <w:iCs/>
          <w:color w:val="44546A" w:themeColor="text2"/>
          <w:szCs w:val="18"/>
        </w:rPr>
        <w:t xml:space="preserve"> </w:t>
      </w:r>
      <w:r>
        <w:rPr>
          <w:b/>
          <w:i/>
          <w:iCs/>
          <w:color w:val="44546A" w:themeColor="text2"/>
          <w:szCs w:val="18"/>
        </w:rPr>
        <w:t>Recommendations</w:t>
      </w:r>
      <w:r w:rsidRPr="002E512F">
        <w:rPr>
          <w:b/>
          <w:i/>
          <w:iCs/>
          <w:color w:val="44546A" w:themeColor="text2"/>
          <w:szCs w:val="18"/>
        </w:rPr>
        <w:t xml:space="preserve"> from </w:t>
      </w:r>
      <w:r w:rsidR="00C018D2">
        <w:rPr>
          <w:b/>
          <w:i/>
          <w:iCs/>
          <w:color w:val="44546A" w:themeColor="text2"/>
          <w:szCs w:val="18"/>
        </w:rPr>
        <w:t xml:space="preserve">the </w:t>
      </w:r>
      <w:r w:rsidRPr="002E512F">
        <w:rPr>
          <w:b/>
          <w:i/>
          <w:iCs/>
          <w:color w:val="44546A" w:themeColor="text2"/>
          <w:szCs w:val="18"/>
        </w:rPr>
        <w:t xml:space="preserve">TERT, considering </w:t>
      </w:r>
      <w:r w:rsidR="00FC2680">
        <w:rPr>
          <w:b/>
          <w:i/>
          <w:iCs/>
          <w:color w:val="44546A" w:themeColor="text2"/>
          <w:szCs w:val="18"/>
        </w:rPr>
        <w:t xml:space="preserve">the use of the </w:t>
      </w:r>
      <w:r w:rsidR="00426E63">
        <w:rPr>
          <w:b/>
          <w:i/>
          <w:iCs/>
          <w:color w:val="44546A" w:themeColor="text2"/>
          <w:szCs w:val="18"/>
        </w:rPr>
        <w:t>2</w:t>
      </w:r>
      <w:r>
        <w:rPr>
          <w:b/>
          <w:i/>
          <w:iCs/>
          <w:color w:val="44546A" w:themeColor="text2"/>
          <w:szCs w:val="18"/>
        </w:rPr>
        <w:t>013</w:t>
      </w:r>
      <w:r w:rsidR="00FC2680">
        <w:rPr>
          <w:b/>
          <w:i/>
          <w:iCs/>
          <w:color w:val="44546A" w:themeColor="text2"/>
          <w:szCs w:val="18"/>
        </w:rPr>
        <w:t xml:space="preserve"> version of the </w:t>
      </w:r>
      <w:r>
        <w:rPr>
          <w:b/>
          <w:i/>
          <w:iCs/>
          <w:color w:val="44546A" w:themeColor="text2"/>
          <w:szCs w:val="18"/>
        </w:rPr>
        <w:t>Guidebook</w:t>
      </w:r>
      <w:bookmarkEnd w:id="62"/>
      <w:r w:rsidR="00A46AA0">
        <w:rPr>
          <w:b/>
          <w:i/>
          <w:iCs/>
          <w:color w:val="44546A" w:themeColor="text2"/>
          <w:szCs w:val="18"/>
        </w:rPr>
        <w:t xml:space="preserve"> </w:t>
      </w:r>
    </w:p>
    <w:tbl>
      <w:tblPr>
        <w:tblW w:w="5000" w:type="pct"/>
        <w:tblLook w:val="04A0" w:firstRow="1" w:lastRow="0" w:firstColumn="1" w:lastColumn="0" w:noHBand="0" w:noVBand="1"/>
      </w:tblPr>
      <w:tblGrid>
        <w:gridCol w:w="2342"/>
        <w:gridCol w:w="1256"/>
        <w:gridCol w:w="2531"/>
        <w:gridCol w:w="8045"/>
      </w:tblGrid>
      <w:tr w:rsidR="00E86783" w:rsidRPr="00E86783" w:rsidTr="00E86783">
        <w:trPr>
          <w:trHeight w:val="20"/>
        </w:trPr>
        <w:tc>
          <w:tcPr>
            <w:tcW w:w="826" w:type="pct"/>
            <w:tcBorders>
              <w:top w:val="single" w:sz="4" w:space="0" w:color="auto"/>
              <w:left w:val="single" w:sz="4" w:space="0" w:color="auto"/>
              <w:bottom w:val="single" w:sz="4" w:space="0" w:color="auto"/>
              <w:right w:val="single" w:sz="4" w:space="0" w:color="auto"/>
            </w:tcBorders>
            <w:shd w:val="clear" w:color="000000" w:fill="BDD7EE"/>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Observation</w:t>
            </w:r>
          </w:p>
        </w:tc>
        <w:tc>
          <w:tcPr>
            <w:tcW w:w="443" w:type="pct"/>
            <w:tcBorders>
              <w:top w:val="single" w:sz="4" w:space="0" w:color="auto"/>
              <w:left w:val="single" w:sz="4" w:space="0" w:color="auto"/>
              <w:bottom w:val="single" w:sz="4" w:space="0" w:color="auto"/>
              <w:right w:val="single" w:sz="4" w:space="0" w:color="auto"/>
            </w:tcBorders>
            <w:shd w:val="clear" w:color="000000" w:fill="BDD7EE"/>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Key Category</w:t>
            </w:r>
          </w:p>
        </w:tc>
        <w:tc>
          <w:tcPr>
            <w:tcW w:w="893" w:type="pct"/>
            <w:tcBorders>
              <w:top w:val="single" w:sz="4" w:space="0" w:color="auto"/>
              <w:left w:val="single" w:sz="4" w:space="0" w:color="auto"/>
              <w:bottom w:val="single" w:sz="4" w:space="0" w:color="auto"/>
              <w:right w:val="single" w:sz="4" w:space="0" w:color="auto"/>
            </w:tcBorders>
            <w:shd w:val="clear" w:color="000000" w:fill="BDD7EE"/>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NFR, Pollutant(s), Year(s)</w:t>
            </w:r>
          </w:p>
        </w:tc>
        <w:tc>
          <w:tcPr>
            <w:tcW w:w="2838" w:type="pct"/>
            <w:tcBorders>
              <w:top w:val="single" w:sz="4" w:space="0" w:color="auto"/>
              <w:left w:val="single" w:sz="4" w:space="0" w:color="auto"/>
              <w:bottom w:val="single" w:sz="4" w:space="0" w:color="auto"/>
              <w:right w:val="single" w:sz="4" w:space="0" w:color="auto"/>
            </w:tcBorders>
            <w:shd w:val="clear" w:color="000000" w:fill="BDD7EE"/>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Recommendation</w:t>
            </w:r>
          </w:p>
        </w:tc>
      </w:tr>
      <w:tr w:rsidR="00E86783" w:rsidRPr="00E86783" w:rsidTr="00E86783">
        <w:trPr>
          <w:trHeight w:val="20"/>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AT-1A3biv-2017-0001</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No</w:t>
            </w:r>
          </w:p>
        </w:tc>
        <w:tc>
          <w:tcPr>
            <w:tcW w:w="89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1A3biv Road Transport: Mopeds &amp; Motorcycles,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2005, 2010, 2015</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97C8E">
            <w:pPr>
              <w:spacing w:after="0" w:line="240" w:lineRule="auto"/>
              <w:jc w:val="both"/>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For category 1A3biv Road Transport: Mopeds &amp; Motorcycles and pollutant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for years 2005, 2010 and 2015 the TERT noted that emissions are indicated as ‘IE’. In response to a question raised during the review, Austria explained that these emissions should be reported as ‘NE’</w:t>
            </w:r>
            <w:r w:rsidR="005B4318">
              <w:rPr>
                <w:rFonts w:ascii="Calibri" w:eastAsia="Times New Roman" w:hAnsi="Calibri" w:cs="Calibri"/>
                <w:color w:val="000000"/>
                <w:lang w:eastAsia="en-GB"/>
              </w:rPr>
              <w:t>.</w:t>
            </w:r>
            <w:r w:rsidRPr="00E86783">
              <w:rPr>
                <w:rFonts w:ascii="Calibri" w:eastAsia="Times New Roman" w:hAnsi="Calibri" w:cs="Calibri"/>
                <w:color w:val="000000"/>
                <w:lang w:eastAsia="en-GB"/>
              </w:rPr>
              <w:t xml:space="preserve"> </w:t>
            </w:r>
            <w:r w:rsidR="005B4318" w:rsidRPr="00853B35">
              <w:rPr>
                <w:rFonts w:ascii="Calibri" w:eastAsia="Times New Roman" w:hAnsi="Calibri" w:cs="Calibri"/>
                <w:color w:val="000000"/>
                <w:lang w:eastAsia="en-GB"/>
              </w:rPr>
              <w:t xml:space="preserve">This is because there are no CS measurements for PM2.5 exhaust emissions of 2-wheelers in Austria and the </w:t>
            </w:r>
            <w:r w:rsidR="005B4318">
              <w:rPr>
                <w:rFonts w:ascii="Calibri" w:eastAsia="Times New Roman" w:hAnsi="Calibri" w:cs="Calibri"/>
                <w:color w:val="000000"/>
                <w:lang w:eastAsia="en-GB"/>
              </w:rPr>
              <w:t xml:space="preserve">EMEP/EEA </w:t>
            </w:r>
            <w:r w:rsidR="005B4318" w:rsidRPr="00853B35">
              <w:rPr>
                <w:rFonts w:ascii="Calibri" w:eastAsia="Times New Roman" w:hAnsi="Calibri" w:cs="Calibri"/>
                <w:color w:val="000000"/>
                <w:lang w:eastAsia="en-GB"/>
              </w:rPr>
              <w:t xml:space="preserve">Guidebook </w:t>
            </w:r>
            <w:r w:rsidR="005B4318">
              <w:rPr>
                <w:rFonts w:ascii="Calibri" w:eastAsia="Times New Roman" w:hAnsi="Calibri" w:cs="Calibri"/>
                <w:color w:val="000000"/>
                <w:lang w:eastAsia="en-GB"/>
              </w:rPr>
              <w:t xml:space="preserve">2016 </w:t>
            </w:r>
            <w:r w:rsidR="005B4318" w:rsidRPr="00853B35">
              <w:rPr>
                <w:rFonts w:ascii="Calibri" w:eastAsia="Times New Roman" w:hAnsi="Calibri" w:cs="Calibri"/>
                <w:color w:val="000000"/>
                <w:lang w:eastAsia="en-GB"/>
              </w:rPr>
              <w:t>suggests no calculation method for estimating those emissions according to Tier 3 (EMEP/EEA Update Dec. 2016 p.57).</w:t>
            </w:r>
            <w:r w:rsidRPr="00E86783">
              <w:rPr>
                <w:rFonts w:ascii="Calibri" w:eastAsia="Times New Roman" w:hAnsi="Calibri" w:cs="Calibri"/>
                <w:color w:val="000000"/>
                <w:lang w:eastAsia="en-GB"/>
              </w:rPr>
              <w:t xml:space="preserve"> Austria stated they will consider implementing the suggested Tier 2 default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emission factors for mopeds and motorcycles in the emission model NEMO for the next submission. The TERT notes that the underestimate of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emissions is below the threshold of significance. The TERT agreed with the explanation provided by Austria and recommends that an effort should be made to provide an emission estimate for the next submission using the emission factors included in Table 3-74 (p. 84) of the 2016 EMEP/EEA Guidebook.</w:t>
            </w:r>
          </w:p>
        </w:tc>
      </w:tr>
      <w:tr w:rsidR="00E86783" w:rsidRPr="00E86783" w:rsidTr="00E86783">
        <w:trPr>
          <w:trHeight w:val="20"/>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AT-1A3bv-2017-0001</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No</w:t>
            </w:r>
          </w:p>
        </w:tc>
        <w:tc>
          <w:tcPr>
            <w:tcW w:w="89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1A3bv Road transport: Gasoline evaporation, NMVOC, 2000-2015</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97C8E">
            <w:pPr>
              <w:spacing w:after="0" w:line="240" w:lineRule="auto"/>
              <w:jc w:val="both"/>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For category 1A3bv Road Transport: Gasoline Evaporation and pollutant NMVOC for years 2000-2015 the TERT noted that emissions are low for the number of petrol cars in the Austrian vehicle fleet. In response to a question raised during the review, Austria explained that in the Austrian transport emission model "NEMO" only emissions from diurnal losses are included in category 1A3bv. Evaporative emissions from hot soak and running losses are included in HC and NMVOC emissions. In 2015 60% of the total evaporative emissions are emissions from diurnal losses. The TERT partly agreed with </w:t>
            </w:r>
            <w:r w:rsidRPr="00E86783">
              <w:rPr>
                <w:rFonts w:ascii="Calibri" w:eastAsia="Times New Roman" w:hAnsi="Calibri" w:cs="Calibri"/>
                <w:color w:val="000000"/>
                <w:lang w:eastAsia="en-GB"/>
              </w:rPr>
              <w:lastRenderedPageBreak/>
              <w:t>the explanation provided by Austria. The TERT understands that only part of the total evaporative emissions (i.e. diurnal losses) are reported in category 1A3bv and the rest (hot soak and running losses) are reported in categories 1A3bi Road Transport: Passenger Cars, 1A3bii Road Transport: Light Duty Vehicles and 1A3biv Road Transport: Mopeds &amp; Motorcycles. The TERT also notes that the method for calculating evaporative emissions in the NEMO model is based on the latest HBEFA v3.2, which is not consistent with the 2016 EMEP/EEA Guidebook. Using the 2016 EMEP/EEA Guidebook method with vehicle activity data for Austria in COPERT 5 leads to estimates of evaporative NMVOC emissions on the order of 2.5 kt, which is a factor of 10 times higher than Austria’s current estimates. The increase in 1A3bv emissions for 2015 when using the 2016 EMEP/EEA Guidebook method is slightly below the threshold of significance for technical correction. The TERT recommends that Austria adopts the method for 1A3bv in the 2016 EMEP/EEA Guidebook in the next submission.</w:t>
            </w:r>
          </w:p>
        </w:tc>
      </w:tr>
      <w:tr w:rsidR="00E86783" w:rsidRPr="00E86783" w:rsidTr="00E86783">
        <w:trPr>
          <w:trHeight w:val="20"/>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lastRenderedPageBreak/>
              <w:t>AT-1A3bvi-2017-0001</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No</w:t>
            </w:r>
          </w:p>
        </w:tc>
        <w:tc>
          <w:tcPr>
            <w:tcW w:w="89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1A3bvi Road transport: Automobile tyre and brake wear,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2000-2015</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For category 1A3bvi Road Transport: Automobile Tyre and Brake Wear,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for the years 2000-2015, the TERT noted that even though in the 2016 EMEP/EEA Guidebook a method for calculating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emissions is provided, Austria has not estimated emissions and used the notation key ‘NA’. During the CLRTAP review Austria indicated that these emissions are included in category 1A3bvii Road Transport: Automobile Road Abrasion. The TERT asked Austria to confirm that this is also the case for the inventory submitted under the NECD. In response to a question raised during the review, Austria confirmed that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emissions from automobile tyre and brake wear are indeed included in category 1A3bvii as is also the case for the submission of CLRTAP. The TERT agreed with the explanation provided by Austria and recommends that Austria makes an effort to report emissions in categories 1A3bvi and 1A3bvii separately in its next submission.</w:t>
            </w:r>
          </w:p>
        </w:tc>
      </w:tr>
      <w:tr w:rsidR="00E86783" w:rsidRPr="00E86783" w:rsidTr="00E86783">
        <w:trPr>
          <w:trHeight w:val="20"/>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AT-3B-2017-0004</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No</w:t>
            </w:r>
          </w:p>
        </w:tc>
        <w:tc>
          <w:tcPr>
            <w:tcW w:w="89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131D21" w:rsidP="00E867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3B Manure Management</w:t>
            </w:r>
            <w:r w:rsidR="00E86783" w:rsidRPr="00E86783">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00E86783" w:rsidRPr="00E86783">
              <w:rPr>
                <w:rFonts w:ascii="Calibri" w:eastAsia="Times New Roman" w:hAnsi="Calibri" w:cs="Calibri"/>
                <w:color w:val="000000"/>
                <w:lang w:eastAsia="en-GB"/>
              </w:rPr>
              <w:t>, 2000-2015</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131D21">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For category NFR </w:t>
            </w:r>
            <w:r w:rsidR="00131D21">
              <w:rPr>
                <w:rFonts w:ascii="Calibri" w:eastAsia="Times New Roman" w:hAnsi="Calibri" w:cs="Calibri"/>
                <w:color w:val="000000"/>
                <w:lang w:eastAsia="en-GB"/>
              </w:rPr>
              <w:t xml:space="preserve">3B Manure Management </w:t>
            </w:r>
            <w:r w:rsidRPr="00E86783">
              <w:rPr>
                <w:rFonts w:ascii="Calibri" w:eastAsia="Times New Roman" w:hAnsi="Calibri" w:cs="Calibri"/>
                <w:color w:val="000000"/>
                <w:lang w:eastAsia="en-GB"/>
              </w:rPr>
              <w:t xml:space="preserve">regarding the emission of TSP,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10</w:t>
            </w:r>
            <w:r w:rsidRPr="00E86783">
              <w:rPr>
                <w:rFonts w:ascii="Calibri" w:eastAsia="Times New Roman" w:hAnsi="Calibri" w:cs="Calibri"/>
                <w:color w:val="000000"/>
                <w:lang w:eastAsia="en-GB"/>
              </w:rPr>
              <w:t xml:space="preserve"> and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for years 2005-2015, the TERT noted that the emission factor used is significant lower compared to the default in the 2016 EMEP/EEA Guidebook (Table 3.5). In response to a question raised during the review, Austria explained that the EF in the 2016 EMEP/EEA Guidebook is considered to significantly overestimate the PM emission. Austria referred to a national study (Winiwarter et al. 2009), where high emission estimates could not be validated by measurements. One reason is that the underlying measurement data used for the generation of default EFs (e.g. Takai et al., 1998) is based on indoor air measurements (with focus on 'inhalable dust' and </w:t>
            </w:r>
            <w:r w:rsidRPr="00E86783">
              <w:rPr>
                <w:rFonts w:ascii="Calibri" w:eastAsia="Times New Roman" w:hAnsi="Calibri" w:cs="Calibri"/>
                <w:color w:val="000000"/>
                <w:lang w:eastAsia="en-GB"/>
              </w:rPr>
              <w:lastRenderedPageBreak/>
              <w:t>'respirable dust') neglecting the losses during transfer to the outdoor air. Austria consider that the EF based on a national study is more accurate for Austria and more realistic estimates compared to the EF in the 2016 EMEP/EEA Guidebook. The TERT accepted the explanation provided during the review and recommends that Austria include more information explaining the significantly lower EF used in the Austrian inventory compared to the default in the 2016 EMEP/EEA Guidebook, and to refer to the report sent during the review (Winiwarter et al, 2007; Aktualisierung und methodische Verbesserung der österreichischen Luftschadstoffinventur für Schwebstaub).</w:t>
            </w:r>
          </w:p>
        </w:tc>
      </w:tr>
      <w:tr w:rsidR="00E86783" w:rsidRPr="00E86783" w:rsidTr="00E86783">
        <w:trPr>
          <w:trHeight w:val="20"/>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lastRenderedPageBreak/>
              <w:t>AT-3Da1-2017-0001</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Yes</w:t>
            </w:r>
          </w:p>
        </w:tc>
        <w:tc>
          <w:tcPr>
            <w:tcW w:w="89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3Da1 Inorganic N-Fertilisers (includes also urea application),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2000-2015</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97C8E">
            <w:pPr>
              <w:spacing w:after="0" w:line="240" w:lineRule="auto"/>
              <w:jc w:val="both"/>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For 3Da1 Inorganic N-fertilisers (includes also urea application),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2000-2015, the emission of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10</w:t>
            </w:r>
            <w:r w:rsidRPr="00E86783">
              <w:rPr>
                <w:rFonts w:ascii="Calibri" w:eastAsia="Times New Roman" w:hAnsi="Calibri" w:cs="Calibri"/>
                <w:color w:val="000000"/>
                <w:lang w:eastAsia="en-GB"/>
              </w:rPr>
              <w:t xml:space="preserve"> and TSP from field operations are allocated to NFR 3Da1 Inorganic N-fertilisers. The 2016 EMEP/EEA Guidebook Table 2.1 (p.6 3D Crop Production and Agricultural Soils) clarified, in a more transparent way compared to the 2013 EMEP/EEA Guidebook Table 3-1, that particle emissions related to field operations (soil cultivation, harvesting, cleaning and drying) should be allocated under the NFR 3Dc Farm-level Agricultural Operations. Regarding the comparability of the emissions across the countries, TERT recommends to reallocate the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emission from 3Da1 to NFR 3Dc. During the review, Austria responded to provide a reallocation of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2.5</w:t>
            </w:r>
            <w:r w:rsidRPr="00E86783">
              <w:rPr>
                <w:rFonts w:ascii="Calibri" w:eastAsia="Times New Roman" w:hAnsi="Calibri" w:cs="Calibri"/>
                <w:color w:val="000000"/>
                <w:lang w:eastAsia="en-GB"/>
              </w:rPr>
              <w:t xml:space="preserve">, </w:t>
            </w:r>
            <w:r w:rsidR="0057457C" w:rsidRPr="0057457C">
              <w:rPr>
                <w:rFonts w:ascii="Calibri" w:eastAsia="Times New Roman" w:hAnsi="Calibri" w:cs="Calibri"/>
                <w:color w:val="000000"/>
                <w:lang w:eastAsia="en-GB"/>
              </w:rPr>
              <w:t>PM</w:t>
            </w:r>
            <w:r w:rsidR="0057457C" w:rsidRPr="0057457C">
              <w:rPr>
                <w:rFonts w:ascii="Calibri" w:eastAsia="Times New Roman" w:hAnsi="Calibri" w:cs="Calibri"/>
                <w:color w:val="000000"/>
                <w:vertAlign w:val="subscript"/>
                <w:lang w:eastAsia="en-GB"/>
              </w:rPr>
              <w:t>10</w:t>
            </w:r>
            <w:r w:rsidRPr="00E86783">
              <w:rPr>
                <w:rFonts w:ascii="Calibri" w:eastAsia="Times New Roman" w:hAnsi="Calibri" w:cs="Calibri"/>
                <w:color w:val="000000"/>
                <w:lang w:eastAsia="en-GB"/>
              </w:rPr>
              <w:t xml:space="preserve"> and TSP emissions from field operations from NFR 3Da1 to NFR 3Dc in next submission.</w:t>
            </w:r>
          </w:p>
        </w:tc>
      </w:tr>
      <w:tr w:rsidR="00E86783" w:rsidRPr="00E86783" w:rsidTr="00E86783">
        <w:trPr>
          <w:trHeight w:val="20"/>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AT-3De-2017-0001</w:t>
            </w:r>
          </w:p>
        </w:tc>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No</w:t>
            </w:r>
          </w:p>
        </w:tc>
        <w:tc>
          <w:tcPr>
            <w:tcW w:w="893"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86783">
            <w:pPr>
              <w:spacing w:after="0" w:line="240" w:lineRule="auto"/>
              <w:rPr>
                <w:rFonts w:ascii="Calibri" w:eastAsia="Times New Roman" w:hAnsi="Calibri" w:cs="Calibri"/>
                <w:color w:val="000000"/>
                <w:lang w:eastAsia="en-GB"/>
              </w:rPr>
            </w:pPr>
            <w:r w:rsidRPr="00E86783">
              <w:rPr>
                <w:rFonts w:ascii="Calibri" w:eastAsia="Times New Roman" w:hAnsi="Calibri" w:cs="Calibri"/>
                <w:color w:val="000000"/>
                <w:lang w:eastAsia="en-GB"/>
              </w:rPr>
              <w:t>3De Cultivated Crops, NMVOC, 2000-2015</w:t>
            </w:r>
          </w:p>
        </w:tc>
        <w:tc>
          <w:tcPr>
            <w:tcW w:w="2838" w:type="pct"/>
            <w:tcBorders>
              <w:top w:val="single" w:sz="4" w:space="0" w:color="auto"/>
              <w:left w:val="single" w:sz="4" w:space="0" w:color="auto"/>
              <w:bottom w:val="single" w:sz="4" w:space="0" w:color="auto"/>
              <w:right w:val="single" w:sz="4" w:space="0" w:color="auto"/>
            </w:tcBorders>
            <w:shd w:val="clear" w:color="auto" w:fill="auto"/>
            <w:hideMark/>
          </w:tcPr>
          <w:p w:rsidR="00E86783" w:rsidRPr="00E86783" w:rsidRDefault="00E86783" w:rsidP="00E97C8E">
            <w:pPr>
              <w:spacing w:after="0" w:line="240" w:lineRule="auto"/>
              <w:jc w:val="both"/>
              <w:rPr>
                <w:rFonts w:ascii="Calibri" w:eastAsia="Times New Roman" w:hAnsi="Calibri" w:cs="Calibri"/>
                <w:color w:val="000000"/>
                <w:lang w:eastAsia="en-GB"/>
              </w:rPr>
            </w:pPr>
            <w:r w:rsidRPr="00E86783">
              <w:rPr>
                <w:rFonts w:ascii="Calibri" w:eastAsia="Times New Roman" w:hAnsi="Calibri" w:cs="Calibri"/>
                <w:color w:val="000000"/>
                <w:lang w:eastAsia="en-GB"/>
              </w:rPr>
              <w:t xml:space="preserve">For 3De Cultivated Crops, NMVOC, 2000-2015, the TERT noted that the NMVOC emission is based on the EFs for wheat and grass (2016 EMEP/EEA Guidebook Table 3.3). Default values for rye and rape are also available in the 2016 EMEP/EEA Guidebook. The TERT noted that although the NMVOC emission accounts for less than 1% of the total NMVOC emission in Austria, a first estimate with use of the appropriate EFs for rye and rape using data from Food and Agriculture Organisation (FAO) statistics, would increase the NMVOC emission by 50%. In response to a question raised during the review, Austria explained that the EF from wheat is chosen because it is the dominant crop type, and furthermore mentioned that the short list of crops (wheat, rye, rape) provided in the 2016 EMEP/EEA Guidebook seems to be random, and does not reflect the high diversity of crops cultivated in Austria. The TERT assumes that information for allocation of different crop type is available for Austria and recommends that Austria estimates emissions for all of the relevant crop types for which EFs are available (including rye and rape) in 2016 EMEP/EEA Guidebook (Table </w:t>
            </w:r>
            <w:r w:rsidRPr="00E86783">
              <w:rPr>
                <w:rFonts w:ascii="Calibri" w:eastAsia="Times New Roman" w:hAnsi="Calibri" w:cs="Calibri"/>
                <w:color w:val="000000"/>
                <w:lang w:eastAsia="en-GB"/>
              </w:rPr>
              <w:lastRenderedPageBreak/>
              <w:t xml:space="preserve">3.3) in its next submission. For the remaining cropland area the TERT recommend that Austria use an average of the highest and lowest EF (wheat and rape) or if other EF is available for Austria based on e.g. literature study or measurement.  </w:t>
            </w:r>
          </w:p>
        </w:tc>
      </w:tr>
    </w:tbl>
    <w:p w:rsidR="00293307" w:rsidRDefault="00293307" w:rsidP="002E512F"/>
    <w:p w:rsidR="00293307" w:rsidRPr="00293307" w:rsidRDefault="006E7843" w:rsidP="00326918">
      <w:pPr>
        <w:pStyle w:val="Heading2"/>
      </w:pPr>
      <w:bookmarkStart w:id="63" w:name="_Toc492150976"/>
      <w:bookmarkStart w:id="64" w:name="_Toc492151855"/>
      <w:bookmarkStart w:id="65" w:name="_Toc492152638"/>
      <w:bookmarkStart w:id="66" w:name="_Toc492152948"/>
      <w:bookmarkStart w:id="67" w:name="_Toc492154211"/>
      <w:bookmarkStart w:id="68" w:name="_Toc492154913"/>
      <w:bookmarkStart w:id="69" w:name="_Toc492155048"/>
      <w:bookmarkStart w:id="70" w:name="_Toc492155106"/>
      <w:bookmarkStart w:id="71" w:name="_Toc492155165"/>
      <w:bookmarkStart w:id="72" w:name="_Toc492155224"/>
      <w:bookmarkStart w:id="73" w:name="_Toc492155282"/>
      <w:bookmarkStart w:id="74" w:name="_Toc492155342"/>
      <w:bookmarkStart w:id="75" w:name="_Toc492155400"/>
      <w:bookmarkStart w:id="76" w:name="_Toc492155516"/>
      <w:bookmarkStart w:id="77" w:name="_Toc492155573"/>
      <w:bookmarkStart w:id="78" w:name="_Toc492282053"/>
      <w:bookmarkStart w:id="79" w:name="_Toc492282122"/>
      <w:bookmarkStart w:id="80" w:name="_Toc492150984"/>
      <w:bookmarkStart w:id="81" w:name="_Toc492151863"/>
      <w:bookmarkStart w:id="82" w:name="_Toc492152646"/>
      <w:bookmarkStart w:id="83" w:name="_Toc492152956"/>
      <w:bookmarkStart w:id="84" w:name="_Toc492154219"/>
      <w:bookmarkStart w:id="85" w:name="_Toc492154921"/>
      <w:bookmarkStart w:id="86" w:name="_Toc492155056"/>
      <w:bookmarkStart w:id="87" w:name="_Toc492155114"/>
      <w:bookmarkStart w:id="88" w:name="_Toc492155173"/>
      <w:bookmarkStart w:id="89" w:name="_Toc492155232"/>
      <w:bookmarkStart w:id="90" w:name="_Toc492155290"/>
      <w:bookmarkStart w:id="91" w:name="_Toc492155350"/>
      <w:bookmarkStart w:id="92" w:name="_Toc492155408"/>
      <w:bookmarkStart w:id="93" w:name="_Toc492155524"/>
      <w:bookmarkStart w:id="94" w:name="_Toc492155581"/>
      <w:bookmarkStart w:id="95" w:name="_Toc492282061"/>
      <w:bookmarkStart w:id="96" w:name="_Toc492282130"/>
      <w:bookmarkStart w:id="97" w:name="_Toc492150992"/>
      <w:bookmarkStart w:id="98" w:name="_Toc492151871"/>
      <w:bookmarkStart w:id="99" w:name="_Toc492152654"/>
      <w:bookmarkStart w:id="100" w:name="_Toc492152964"/>
      <w:bookmarkStart w:id="101" w:name="_Toc492154227"/>
      <w:bookmarkStart w:id="102" w:name="_Toc492154929"/>
      <w:bookmarkStart w:id="103" w:name="_Toc492155064"/>
      <w:bookmarkStart w:id="104" w:name="_Toc492155122"/>
      <w:bookmarkStart w:id="105" w:name="_Toc492155181"/>
      <w:bookmarkStart w:id="106" w:name="_Toc492155240"/>
      <w:bookmarkStart w:id="107" w:name="_Toc492155298"/>
      <w:bookmarkStart w:id="108" w:name="_Toc492155358"/>
      <w:bookmarkStart w:id="109" w:name="_Toc492155416"/>
      <w:bookmarkStart w:id="110" w:name="_Toc492155532"/>
      <w:bookmarkStart w:id="111" w:name="_Toc492155589"/>
      <w:bookmarkStart w:id="112" w:name="_Toc492282069"/>
      <w:bookmarkStart w:id="113" w:name="_Toc492282138"/>
      <w:bookmarkStart w:id="114" w:name="_Toc49963126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D73F2A">
        <w:t>Cross</w:t>
      </w:r>
      <w:r w:rsidR="00E237E2">
        <w:t>-</w:t>
      </w:r>
      <w:r w:rsidRPr="00D73F2A">
        <w:t>cutting recommendations</w:t>
      </w:r>
      <w:bookmarkEnd w:id="114"/>
      <w:r w:rsidRPr="00D73F2A">
        <w:t xml:space="preserve"> </w:t>
      </w:r>
    </w:p>
    <w:p w:rsidR="00DD21B1" w:rsidRDefault="001D176A" w:rsidP="0061481E">
      <w:pPr>
        <w:pStyle w:val="StandardNum"/>
      </w:pPr>
      <w:r>
        <w:t>The TERT identified recommendations in order to improve the national inventory data of Austria (see section VII).</w:t>
      </w:r>
    </w:p>
    <w:p w:rsidR="00DD21B1" w:rsidRDefault="001D176A" w:rsidP="0061481E">
      <w:pPr>
        <w:pStyle w:val="StandardNum"/>
      </w:pPr>
      <w:r>
        <w:t>The TERT considers that it received a response from Austria that was sufficient in order to undertake the comprehensive technical review appropriately.</w:t>
      </w:r>
    </w:p>
    <w:p w:rsidR="001D176A" w:rsidRPr="001D176A" w:rsidRDefault="001D176A" w:rsidP="001D176A">
      <w:pPr>
        <w:pStyle w:val="StandardNum"/>
        <w:ind w:right="284"/>
        <w:rPr>
          <w:rFonts w:eastAsiaTheme="minorEastAsia" w:cs="Calibri"/>
          <w:color w:val="000000"/>
        </w:rPr>
      </w:pPr>
      <w:r w:rsidRPr="001D176A">
        <w:rPr>
          <w:rFonts w:eastAsiaTheme="minorEastAsia" w:cs="Calibri"/>
          <w:color w:val="000000"/>
        </w:rPr>
        <w:t xml:space="preserve">The </w:t>
      </w:r>
      <w:r w:rsidRPr="001D176A">
        <w:t>TERT</w:t>
      </w:r>
      <w:r w:rsidRPr="001D176A">
        <w:rPr>
          <w:rFonts w:eastAsiaTheme="minorEastAsia" w:cs="Calibri"/>
          <w:color w:val="000000"/>
        </w:rPr>
        <w:t xml:space="preserve"> identifies the following cross-cutting issues for improvement in the inventory and recommends that Austria:</w:t>
      </w:r>
    </w:p>
    <w:p w:rsidR="001D176A" w:rsidRPr="001D176A" w:rsidRDefault="001D176A" w:rsidP="001D176A">
      <w:pPr>
        <w:autoSpaceDE w:val="0"/>
        <w:autoSpaceDN w:val="0"/>
        <w:adjustRightInd w:val="0"/>
        <w:spacing w:after="0" w:line="240" w:lineRule="auto"/>
        <w:rPr>
          <w:rFonts w:eastAsiaTheme="minorEastAsia" w:cs="Calibri"/>
          <w:color w:val="000000"/>
        </w:rPr>
      </w:pPr>
      <w:r w:rsidRPr="001D176A">
        <w:rPr>
          <w:rFonts w:eastAsiaTheme="minorEastAsia" w:cs="Calibri"/>
          <w:color w:val="000000"/>
        </w:rPr>
        <w:t>(a) Complete its emission inventory by estimating currently missing emissions;</w:t>
      </w:r>
    </w:p>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eastAsiaTheme="minorEastAsia" w:cs="Calibri"/>
          <w:color w:val="000000"/>
        </w:rPr>
        <w:t>(b) Use the notation key “NE” where emissions are expected to occur but are not estimated</w:t>
      </w:r>
      <w:r w:rsidRPr="001D176A">
        <w:rPr>
          <w:rFonts w:ascii="Calibri" w:eastAsiaTheme="minorEastAsia" w:hAnsi="Calibri" w:cs="Calibri"/>
          <w:color w:val="000000"/>
          <w:lang w:eastAsia="en-GB"/>
        </w:rPr>
        <w:t>;</w:t>
      </w:r>
    </w:p>
    <w:p w:rsidR="001D176A" w:rsidRPr="001D176A" w:rsidRDefault="001D176A" w:rsidP="001D176A">
      <w:pPr>
        <w:autoSpaceDE w:val="0"/>
        <w:autoSpaceDN w:val="0"/>
        <w:adjustRightInd w:val="0"/>
        <w:spacing w:after="0" w:line="240" w:lineRule="auto"/>
        <w:rPr>
          <w:rFonts w:ascii="Calibri" w:eastAsiaTheme="minorEastAsia" w:hAnsi="Calibri" w:cs="Calibri"/>
          <w:color w:val="000000"/>
          <w:lang w:eastAsia="en-GB"/>
        </w:rPr>
      </w:pPr>
      <w:r w:rsidRPr="001D176A">
        <w:rPr>
          <w:rFonts w:eastAsiaTheme="minorEastAsia" w:cs="Calibri"/>
          <w:color w:val="000000"/>
        </w:rPr>
        <w:t>(c</w:t>
      </w:r>
      <w:r w:rsidRPr="001D176A">
        <w:rPr>
          <w:rFonts w:ascii="Calibri" w:eastAsiaTheme="minorEastAsia" w:hAnsi="Calibri" w:cs="Calibri"/>
          <w:color w:val="000000"/>
          <w:lang w:eastAsia="en-GB"/>
        </w:rPr>
        <w:t xml:space="preserve">) Uses the </w:t>
      </w:r>
      <w:r w:rsidR="00E97C8E">
        <w:rPr>
          <w:rFonts w:ascii="Calibri" w:eastAsiaTheme="minorEastAsia" w:hAnsi="Calibri" w:cs="Calibri"/>
          <w:color w:val="000000"/>
          <w:lang w:eastAsia="en-GB"/>
        </w:rPr>
        <w:t xml:space="preserve">2016 </w:t>
      </w:r>
      <w:r w:rsidR="00503626">
        <w:rPr>
          <w:rFonts w:ascii="Calibri" w:eastAsiaTheme="minorEastAsia" w:hAnsi="Calibri" w:cs="Calibri"/>
          <w:color w:val="000000"/>
          <w:lang w:eastAsia="en-GB"/>
        </w:rPr>
        <w:t>EMEP/EEA Guidebook</w:t>
      </w:r>
      <w:r w:rsidRPr="001D176A">
        <w:rPr>
          <w:rFonts w:ascii="Calibri" w:eastAsiaTheme="minorEastAsia" w:hAnsi="Calibri" w:cs="Calibri"/>
          <w:color w:val="000000"/>
          <w:lang w:eastAsia="en-GB"/>
        </w:rPr>
        <w:t xml:space="preserve"> for all categories;</w:t>
      </w:r>
    </w:p>
    <w:p w:rsidR="0021004A" w:rsidRPr="0021004A" w:rsidRDefault="001D176A" w:rsidP="00D72201">
      <w:pPr>
        <w:autoSpaceDE w:val="0"/>
        <w:autoSpaceDN w:val="0"/>
        <w:adjustRightInd w:val="0"/>
        <w:spacing w:after="0" w:line="240" w:lineRule="auto"/>
      </w:pPr>
      <w:r w:rsidRPr="001D176A">
        <w:rPr>
          <w:rFonts w:ascii="Calibri" w:eastAsiaTheme="minorEastAsia" w:hAnsi="Calibri" w:cs="Calibri"/>
          <w:color w:val="000000"/>
          <w:lang w:eastAsia="en-GB"/>
        </w:rPr>
        <w:t xml:space="preserve">(d)  </w:t>
      </w:r>
      <w:r w:rsidRPr="001D176A">
        <w:rPr>
          <w:rFonts w:eastAsiaTheme="minorEastAsia" w:cs="Calibri"/>
          <w:color w:val="000000"/>
        </w:rPr>
        <w:t>Improves the transparency of the inventory by improving the IIR</w:t>
      </w:r>
      <w:r w:rsidR="00600D71">
        <w:rPr>
          <w:rFonts w:eastAsiaTheme="minorEastAsia" w:cs="Calibri"/>
          <w:color w:val="000000"/>
        </w:rPr>
        <w:t>.</w:t>
      </w:r>
    </w:p>
    <w:p w:rsidR="0021004A" w:rsidRDefault="0021004A" w:rsidP="00D72201">
      <w:pPr>
        <w:pStyle w:val="StandardNum"/>
        <w:numPr>
          <w:ilvl w:val="0"/>
          <w:numId w:val="0"/>
        </w:numPr>
        <w:spacing w:line="240" w:lineRule="auto"/>
        <w:ind w:left="142"/>
        <w:rPr>
          <w:bCs w:val="0"/>
        </w:rPr>
      </w:pPr>
    </w:p>
    <w:p w:rsidR="0021004A" w:rsidRPr="002E512F" w:rsidRDefault="0021004A" w:rsidP="00E237E2">
      <w:pPr>
        <w:pStyle w:val="StandardNum"/>
        <w:numPr>
          <w:ilvl w:val="0"/>
          <w:numId w:val="0"/>
        </w:numPr>
        <w:ind w:left="142"/>
        <w:sectPr w:rsidR="0021004A" w:rsidRPr="002E512F" w:rsidSect="007E5D9D">
          <w:pgSz w:w="16838" w:h="11906" w:orient="landscape"/>
          <w:pgMar w:top="1440" w:right="1440" w:bottom="1274" w:left="1440" w:header="708" w:footer="708" w:gutter="0"/>
          <w:cols w:space="708"/>
          <w:docGrid w:linePitch="360"/>
        </w:sectPr>
      </w:pPr>
    </w:p>
    <w:p w:rsidR="0021004A" w:rsidRDefault="00D5722B" w:rsidP="00207111">
      <w:pPr>
        <w:pStyle w:val="Heading1"/>
        <w:numPr>
          <w:ilvl w:val="0"/>
          <w:numId w:val="0"/>
        </w:numPr>
        <w:ind w:left="360" w:hanging="360"/>
      </w:pPr>
      <w:bookmarkStart w:id="115" w:name="_Ref477429670"/>
      <w:bookmarkStart w:id="116" w:name="_Toc499631270"/>
      <w:r>
        <w:lastRenderedPageBreak/>
        <w:t>A</w:t>
      </w:r>
      <w:r w:rsidR="00207111">
        <w:t>nnex</w:t>
      </w:r>
      <w:r>
        <w:t xml:space="preserve"> I</w:t>
      </w:r>
      <w:r w:rsidR="00207111">
        <w:t xml:space="preserve">: </w:t>
      </w:r>
      <w:r w:rsidR="001D176A">
        <w:t>Revised Estimates provided by Austria</w:t>
      </w:r>
      <w:bookmarkEnd w:id="115"/>
      <w:bookmarkEnd w:id="116"/>
    </w:p>
    <w:p w:rsidR="00D31D74" w:rsidRDefault="00D31D74" w:rsidP="001553E9">
      <w:pPr>
        <w:rPr>
          <w:b/>
          <w:i/>
          <w:iCs/>
          <w:color w:val="44546A" w:themeColor="text2"/>
          <w:szCs w:val="18"/>
        </w:rPr>
      </w:pPr>
      <w:bookmarkStart w:id="117" w:name="_Toc499631318"/>
      <w:r w:rsidRPr="000B2C95">
        <w:rPr>
          <w:b/>
          <w:i/>
          <w:iCs/>
          <w:color w:val="44546A" w:themeColor="text2"/>
          <w:szCs w:val="18"/>
        </w:rPr>
        <w:t>T</w:t>
      </w:r>
      <w:r w:rsidRPr="002E512F">
        <w:rPr>
          <w:b/>
          <w:i/>
          <w:iCs/>
          <w:color w:val="44546A" w:themeColor="text2"/>
          <w:szCs w:val="18"/>
        </w:rPr>
        <w:t xml:space="preserve">able </w:t>
      </w:r>
      <w:r w:rsidRPr="002E512F">
        <w:rPr>
          <w:b/>
          <w:i/>
          <w:iCs/>
          <w:color w:val="44546A" w:themeColor="text2"/>
          <w:szCs w:val="18"/>
        </w:rPr>
        <w:fldChar w:fldCharType="begin"/>
      </w:r>
      <w:r w:rsidRPr="002E512F">
        <w:rPr>
          <w:b/>
          <w:i/>
          <w:iCs/>
          <w:color w:val="44546A" w:themeColor="text2"/>
          <w:szCs w:val="18"/>
        </w:rPr>
        <w:instrText xml:space="preserve"> SEQ Table \* ARABIC </w:instrText>
      </w:r>
      <w:r w:rsidRPr="002E512F">
        <w:rPr>
          <w:b/>
          <w:i/>
          <w:iCs/>
          <w:color w:val="44546A" w:themeColor="text2"/>
          <w:szCs w:val="18"/>
        </w:rPr>
        <w:fldChar w:fldCharType="separate"/>
      </w:r>
      <w:r w:rsidR="00C07297">
        <w:rPr>
          <w:b/>
          <w:i/>
          <w:iCs/>
          <w:noProof/>
          <w:color w:val="44546A" w:themeColor="text2"/>
          <w:szCs w:val="18"/>
        </w:rPr>
        <w:t>5</w:t>
      </w:r>
      <w:r w:rsidRPr="002E512F">
        <w:rPr>
          <w:b/>
          <w:i/>
          <w:iCs/>
          <w:color w:val="44546A" w:themeColor="text2"/>
          <w:szCs w:val="18"/>
        </w:rPr>
        <w:fldChar w:fldCharType="end"/>
      </w:r>
      <w:r w:rsidRPr="002E512F">
        <w:rPr>
          <w:b/>
          <w:i/>
          <w:iCs/>
          <w:color w:val="44546A" w:themeColor="text2"/>
          <w:szCs w:val="18"/>
        </w:rPr>
        <w:t>:</w:t>
      </w:r>
      <w:r w:rsidR="007268D2">
        <w:rPr>
          <w:b/>
          <w:i/>
          <w:iCs/>
          <w:color w:val="44546A" w:themeColor="text2"/>
          <w:szCs w:val="18"/>
        </w:rPr>
        <w:t xml:space="preserve"> Summary </w:t>
      </w:r>
      <w:r>
        <w:rPr>
          <w:b/>
          <w:i/>
          <w:iCs/>
          <w:color w:val="44546A" w:themeColor="text2"/>
          <w:szCs w:val="18"/>
        </w:rPr>
        <w:t xml:space="preserve">of Technical </w:t>
      </w:r>
      <w:r w:rsidR="007268D2">
        <w:rPr>
          <w:b/>
          <w:i/>
          <w:iCs/>
          <w:color w:val="44546A" w:themeColor="text2"/>
          <w:szCs w:val="18"/>
        </w:rPr>
        <w:t>Revisions</w:t>
      </w:r>
      <w:bookmarkEnd w:id="117"/>
      <w:r>
        <w:rPr>
          <w:b/>
          <w:i/>
          <w:iCs/>
          <w:color w:val="44546A" w:themeColor="text2"/>
          <w:szCs w:val="18"/>
        </w:rPr>
        <w:t xml:space="preserve"> </w:t>
      </w:r>
    </w:p>
    <w:tbl>
      <w:tblPr>
        <w:tblW w:w="5000" w:type="pct"/>
        <w:tblLayout w:type="fixed"/>
        <w:tblLook w:val="04A0" w:firstRow="1" w:lastRow="0" w:firstColumn="1" w:lastColumn="0" w:noHBand="0" w:noVBand="1"/>
      </w:tblPr>
      <w:tblGrid>
        <w:gridCol w:w="308"/>
        <w:gridCol w:w="2213"/>
        <w:gridCol w:w="858"/>
        <w:gridCol w:w="1120"/>
        <w:gridCol w:w="726"/>
        <w:gridCol w:w="879"/>
        <w:gridCol w:w="800"/>
        <w:gridCol w:w="792"/>
        <w:gridCol w:w="1454"/>
        <w:gridCol w:w="258"/>
      </w:tblGrid>
      <w:tr w:rsidR="00685701" w:rsidRPr="009F44B2" w:rsidTr="00685701">
        <w:trPr>
          <w:trHeight w:val="227"/>
        </w:trPr>
        <w:tc>
          <w:tcPr>
            <w:tcW w:w="163"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85701" w:rsidRPr="009F44B2" w:rsidRDefault="00685701" w:rsidP="00545005">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t>1</w:t>
            </w:r>
          </w:p>
        </w:tc>
        <w:tc>
          <w:tcPr>
            <w:tcW w:w="1176"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single" w:sz="4" w:space="0" w:color="auto"/>
              <w:left w:val="nil"/>
              <w:bottom w:val="nil"/>
              <w:right w:val="nil"/>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single" w:sz="4" w:space="0" w:color="auto"/>
              <w:left w:val="nil"/>
              <w:bottom w:val="nil"/>
              <w:right w:val="single" w:sz="4" w:space="0" w:color="auto"/>
            </w:tcBorders>
            <w:shd w:val="clear" w:color="000000" w:fill="BDD7EE"/>
            <w:noWrap/>
            <w:vAlign w:val="center"/>
            <w:hideMark/>
          </w:tcPr>
          <w:p w:rsidR="00685701" w:rsidRPr="009F44B2" w:rsidRDefault="00685701" w:rsidP="0054500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ID:</w:t>
            </w:r>
          </w:p>
        </w:tc>
        <w:tc>
          <w:tcPr>
            <w:tcW w:w="2750" w:type="pct"/>
            <w:gridSpan w:val="6"/>
            <w:tcBorders>
              <w:top w:val="single" w:sz="4" w:space="0" w:color="auto"/>
              <w:left w:val="nil"/>
              <w:bottom w:val="single" w:sz="4" w:space="0" w:color="auto"/>
              <w:right w:val="single" w:sz="4"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b/>
                <w:bCs/>
                <w:sz w:val="18"/>
                <w:szCs w:val="18"/>
                <w:lang w:eastAsia="en-GB"/>
              </w:rPr>
            </w:pPr>
            <w:r w:rsidRPr="009F44B2">
              <w:rPr>
                <w:rFonts w:ascii="Calibri" w:eastAsia="Times New Roman" w:hAnsi="Calibri" w:cs="Calibri"/>
                <w:b/>
                <w:bCs/>
                <w:sz w:val="18"/>
                <w:szCs w:val="18"/>
                <w:lang w:eastAsia="en-GB"/>
              </w:rPr>
              <w:t>AT-</w:t>
            </w:r>
            <w:r w:rsidR="00545005">
              <w:rPr>
                <w:rFonts w:ascii="Calibri" w:eastAsia="Times New Roman" w:hAnsi="Calibri" w:cs="Calibri"/>
                <w:b/>
                <w:bCs/>
                <w:sz w:val="18"/>
                <w:szCs w:val="18"/>
                <w:lang w:eastAsia="en-GB"/>
              </w:rPr>
              <w:t>NatTot-</w:t>
            </w:r>
            <w:r w:rsidRPr="009F44B2">
              <w:rPr>
                <w:rFonts w:ascii="Calibri" w:eastAsia="Times New Roman" w:hAnsi="Calibri" w:cs="Calibri"/>
                <w:b/>
                <w:bCs/>
                <w:sz w:val="18"/>
                <w:szCs w:val="18"/>
                <w:lang w:eastAsia="en-GB"/>
              </w:rPr>
              <w:t>2017-0001</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URL:</w:t>
            </w:r>
          </w:p>
        </w:tc>
        <w:tc>
          <w:tcPr>
            <w:tcW w:w="2750" w:type="pct"/>
            <w:gridSpan w:val="6"/>
            <w:tcBorders>
              <w:top w:val="single" w:sz="4" w:space="0" w:color="auto"/>
              <w:left w:val="nil"/>
              <w:bottom w:val="single" w:sz="4" w:space="0" w:color="auto"/>
              <w:right w:val="single" w:sz="4"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563C1"/>
                <w:sz w:val="18"/>
                <w:szCs w:val="18"/>
                <w:u w:val="single"/>
                <w:lang w:eastAsia="en-GB"/>
              </w:rPr>
            </w:pP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Member State:</w:t>
            </w:r>
          </w:p>
        </w:tc>
        <w:tc>
          <w:tcPr>
            <w:tcW w:w="2750" w:type="pct"/>
            <w:gridSpan w:val="6"/>
            <w:tcBorders>
              <w:top w:val="single" w:sz="4" w:space="0" w:color="auto"/>
              <w:left w:val="nil"/>
              <w:bottom w:val="single" w:sz="4" w:space="0" w:color="auto"/>
              <w:right w:val="single" w:sz="4" w:space="0" w:color="auto"/>
            </w:tcBorders>
            <w:shd w:val="clear" w:color="000000" w:fill="FFFFFF"/>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Austria</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Sector:</w:t>
            </w:r>
          </w:p>
        </w:tc>
        <w:tc>
          <w:tcPr>
            <w:tcW w:w="2750" w:type="pct"/>
            <w:gridSpan w:val="6"/>
            <w:tcBorders>
              <w:top w:val="single" w:sz="4" w:space="0" w:color="auto"/>
              <w:left w:val="nil"/>
              <w:bottom w:val="single" w:sz="4" w:space="0" w:color="auto"/>
              <w:right w:val="single" w:sz="4"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National Totals</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Pollutant</w:t>
            </w:r>
          </w:p>
        </w:tc>
        <w:tc>
          <w:tcPr>
            <w:tcW w:w="2750" w:type="pct"/>
            <w:gridSpan w:val="6"/>
            <w:tcBorders>
              <w:top w:val="single" w:sz="4" w:space="0" w:color="auto"/>
              <w:left w:val="nil"/>
              <w:bottom w:val="single" w:sz="4" w:space="0" w:color="auto"/>
              <w:right w:val="single" w:sz="4"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NOx, NMVOC</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Completed by (SE): </w:t>
            </w:r>
          </w:p>
        </w:tc>
        <w:tc>
          <w:tcPr>
            <w:tcW w:w="2750"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Justin Goodwin</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(LR): </w:t>
            </w:r>
          </w:p>
        </w:tc>
        <w:tc>
          <w:tcPr>
            <w:tcW w:w="2750"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Justin Goodwin</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(Counterpart): </w:t>
            </w:r>
          </w:p>
        </w:tc>
        <w:tc>
          <w:tcPr>
            <w:tcW w:w="2750"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Chris Dore</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595"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38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67"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25"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21"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val="restart"/>
            <w:tcBorders>
              <w:top w:val="single" w:sz="4" w:space="0" w:color="auto"/>
              <w:left w:val="nil"/>
              <w:bottom w:val="single" w:sz="4" w:space="0" w:color="000000"/>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underlying problem:</w:t>
            </w:r>
          </w:p>
        </w:tc>
        <w:tc>
          <w:tcPr>
            <w:tcW w:w="3523" w:type="pct"/>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E56015" w:rsidRPr="009F44B2" w:rsidRDefault="00E56015" w:rsidP="00E56015">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Austria have reported national totals for compliance (row 144) that exclude 3B and 3D for NOx and NMVOC.</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tcBorders>
              <w:top w:val="single" w:sz="4" w:space="0" w:color="auto"/>
              <w:left w:val="nil"/>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523" w:type="pct"/>
            <w:gridSpan w:val="7"/>
            <w:vMerge/>
            <w:tcBorders>
              <w:top w:val="single" w:sz="4" w:space="0" w:color="auto"/>
              <w:left w:val="single" w:sz="4" w:space="0" w:color="auto"/>
              <w:bottom w:val="single" w:sz="4" w:space="0" w:color="000000"/>
              <w:right w:val="single" w:sz="4" w:space="0" w:color="000000"/>
            </w:tcBorders>
            <w:vAlign w:val="center"/>
          </w:tcPr>
          <w:p w:rsidR="00E56015" w:rsidRPr="009F44B2" w:rsidRDefault="00E56015" w:rsidP="00E56015">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tcBorders>
              <w:top w:val="single" w:sz="4" w:space="0" w:color="auto"/>
              <w:left w:val="nil"/>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523" w:type="pct"/>
            <w:gridSpan w:val="7"/>
            <w:vMerge/>
            <w:tcBorders>
              <w:top w:val="single" w:sz="4" w:space="0" w:color="auto"/>
              <w:left w:val="single" w:sz="4" w:space="0" w:color="auto"/>
              <w:bottom w:val="single" w:sz="4" w:space="0" w:color="000000"/>
              <w:right w:val="single" w:sz="4" w:space="0" w:color="000000"/>
            </w:tcBorders>
            <w:vAlign w:val="center"/>
          </w:tcPr>
          <w:p w:rsidR="00E56015" w:rsidRPr="009F44B2" w:rsidRDefault="00E56015" w:rsidP="00E56015">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val="restart"/>
            <w:tcBorders>
              <w:top w:val="nil"/>
              <w:left w:val="nil"/>
              <w:bottom w:val="single" w:sz="4" w:space="0" w:color="000000"/>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rationale for the corrected estimate:</w:t>
            </w:r>
          </w:p>
        </w:tc>
        <w:tc>
          <w:tcPr>
            <w:tcW w:w="3523" w:type="pct"/>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E56015" w:rsidRPr="009F44B2" w:rsidRDefault="00E56015" w:rsidP="00E56015">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3B and 3D for NOx and NMVOC are to be included in national totals for compliance in accordance with the NECD to show reporting against the NECD emission ceilings (and not emission reduction commitments).</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523" w:type="pct"/>
            <w:gridSpan w:val="7"/>
            <w:vMerge/>
            <w:tcBorders>
              <w:top w:val="single" w:sz="4" w:space="0" w:color="auto"/>
              <w:left w:val="single" w:sz="4" w:space="0" w:color="auto"/>
              <w:bottom w:val="single" w:sz="4" w:space="0" w:color="000000"/>
              <w:right w:val="single" w:sz="4" w:space="0" w:color="000000"/>
            </w:tcBorders>
            <w:vAlign w:val="center"/>
          </w:tcPr>
          <w:p w:rsidR="00E56015" w:rsidRPr="009F44B2" w:rsidRDefault="00E56015" w:rsidP="00E56015">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523" w:type="pct"/>
            <w:gridSpan w:val="7"/>
            <w:vMerge/>
            <w:tcBorders>
              <w:top w:val="single" w:sz="4" w:space="0" w:color="auto"/>
              <w:left w:val="single" w:sz="4" w:space="0" w:color="auto"/>
              <w:bottom w:val="single" w:sz="4" w:space="0" w:color="000000"/>
              <w:right w:val="single" w:sz="4" w:space="0" w:color="000000"/>
            </w:tcBorders>
            <w:vAlign w:val="center"/>
          </w:tcPr>
          <w:p w:rsidR="00E56015" w:rsidRPr="009F44B2" w:rsidRDefault="00E56015" w:rsidP="00E56015">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val="restart"/>
            <w:tcBorders>
              <w:top w:val="nil"/>
              <w:left w:val="nil"/>
              <w:bottom w:val="single" w:sz="4" w:space="0" w:color="000000"/>
              <w:right w:val="single" w:sz="4" w:space="0" w:color="auto"/>
            </w:tcBorders>
            <w:shd w:val="clear" w:color="000000" w:fill="00B0F0"/>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Summarise the methodology used:</w:t>
            </w:r>
          </w:p>
        </w:tc>
        <w:tc>
          <w:tcPr>
            <w:tcW w:w="3523" w:type="pct"/>
            <w:gridSpan w:val="7"/>
            <w:vMerge w:val="restart"/>
            <w:tcBorders>
              <w:top w:val="single" w:sz="4" w:space="0" w:color="auto"/>
              <w:left w:val="single" w:sz="4" w:space="0" w:color="auto"/>
              <w:bottom w:val="single" w:sz="4" w:space="0" w:color="000000"/>
              <w:right w:val="single" w:sz="4" w:space="0" w:color="000000"/>
            </w:tcBorders>
            <w:shd w:val="clear" w:color="auto" w:fill="auto"/>
          </w:tcPr>
          <w:p w:rsidR="00E56015" w:rsidRPr="009F44B2" w:rsidRDefault="00E56015" w:rsidP="00E56015">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 national totals for compliance have been calculated including NOx and NMVOC emissions from 3B and 3D.</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523" w:type="pct"/>
            <w:gridSpan w:val="7"/>
            <w:vMerge/>
            <w:tcBorders>
              <w:top w:val="single" w:sz="4" w:space="0" w:color="auto"/>
              <w:left w:val="single" w:sz="4" w:space="0" w:color="auto"/>
              <w:bottom w:val="single" w:sz="4" w:space="0" w:color="000000"/>
              <w:right w:val="single" w:sz="4" w:space="0" w:color="000000"/>
            </w:tcBorders>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523" w:type="pct"/>
            <w:gridSpan w:val="7"/>
            <w:vMerge/>
            <w:tcBorders>
              <w:top w:val="single" w:sz="4" w:space="0" w:color="auto"/>
              <w:left w:val="single" w:sz="4" w:space="0" w:color="auto"/>
              <w:bottom w:val="single" w:sz="4" w:space="0" w:color="000000"/>
              <w:right w:val="single" w:sz="4" w:space="0" w:color="000000"/>
            </w:tcBorders>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523" w:type="pct"/>
            <w:gridSpan w:val="7"/>
            <w:vMerge/>
            <w:tcBorders>
              <w:top w:val="single" w:sz="4" w:space="0" w:color="auto"/>
              <w:left w:val="single" w:sz="4" w:space="0" w:color="auto"/>
              <w:bottom w:val="single" w:sz="4" w:space="0" w:color="000000"/>
              <w:right w:val="single" w:sz="4" w:space="0" w:color="000000"/>
            </w:tcBorders>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single" w:sz="4" w:space="0" w:color="auto"/>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176"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456"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595"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386"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467"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425"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421"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773"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c>
          <w:tcPr>
            <w:tcW w:w="137" w:type="pct"/>
            <w:tcBorders>
              <w:top w:val="nil"/>
              <w:left w:val="nil"/>
              <w:bottom w:val="nil"/>
              <w:right w:val="nil"/>
            </w:tcBorders>
            <w:shd w:val="clear" w:color="auto" w:fill="auto"/>
            <w:noWrap/>
            <w:vAlign w:val="center"/>
            <w:hideMark/>
          </w:tcPr>
          <w:p w:rsidR="00E56015" w:rsidRPr="009F44B2" w:rsidRDefault="00E56015" w:rsidP="00E56015">
            <w:pPr>
              <w:spacing w:after="0" w:line="240" w:lineRule="auto"/>
              <w:rPr>
                <w:rFonts w:ascii="Times New Roman" w:eastAsia="Times New Roman" w:hAnsi="Times New Roman" w:cs="Times New Roman"/>
                <w:sz w:val="18"/>
                <w:szCs w:val="18"/>
                <w:lang w:eastAsia="en-GB"/>
              </w:rPr>
            </w:pPr>
          </w:p>
        </w:tc>
      </w:tr>
      <w:tr w:rsidR="00E56015" w:rsidRPr="009F44B2" w:rsidTr="00685701">
        <w:trPr>
          <w:trHeight w:val="227"/>
        </w:trPr>
        <w:tc>
          <w:tcPr>
            <w:tcW w:w="163" w:type="pct"/>
            <w:vMerge w:val="restart"/>
            <w:tcBorders>
              <w:top w:val="single" w:sz="4" w:space="0" w:color="auto"/>
              <w:left w:val="single" w:sz="4" w:space="0" w:color="auto"/>
              <w:bottom w:val="single" w:sz="4" w:space="0" w:color="000000"/>
              <w:right w:val="single" w:sz="4" w:space="0" w:color="auto"/>
            </w:tcBorders>
            <w:shd w:val="clear" w:color="000000" w:fill="0070C0"/>
            <w:noWrap/>
            <w:vAlign w:val="center"/>
            <w:hideMark/>
          </w:tcPr>
          <w:p w:rsidR="00E56015" w:rsidRPr="009F44B2" w:rsidRDefault="00E56015" w:rsidP="00E56015">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t>2</w:t>
            </w:r>
          </w:p>
        </w:tc>
        <w:tc>
          <w:tcPr>
            <w:tcW w:w="2227" w:type="pct"/>
            <w:gridSpan w:val="3"/>
            <w:tcBorders>
              <w:top w:val="single" w:sz="4" w:space="0" w:color="auto"/>
              <w:left w:val="single" w:sz="4" w:space="0" w:color="auto"/>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Details of the corrected estimate</w:t>
            </w:r>
          </w:p>
        </w:tc>
        <w:tc>
          <w:tcPr>
            <w:tcW w:w="386" w:type="pct"/>
            <w:tcBorders>
              <w:top w:val="single" w:sz="4" w:space="0" w:color="auto"/>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single" w:sz="4" w:space="0" w:color="auto"/>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single" w:sz="4" w:space="0" w:color="auto"/>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single" w:sz="4" w:space="0" w:color="auto"/>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single" w:sz="4" w:space="0" w:color="auto"/>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single" w:sz="4" w:space="0" w:color="auto"/>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294"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Original estimate (kt)</w:t>
            </w:r>
          </w:p>
        </w:tc>
        <w:tc>
          <w:tcPr>
            <w:tcW w:w="77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single" w:sz="4" w:space="0" w:color="auto"/>
              <w:bottom w:val="single" w:sz="4" w:space="0" w:color="auto"/>
              <w:right w:val="nil"/>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95" w:type="pct"/>
            <w:tcBorders>
              <w:top w:val="nil"/>
              <w:left w:val="single" w:sz="8" w:space="0" w:color="auto"/>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8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67"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425"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21"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B12150">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NatTot</w:t>
            </w:r>
            <w:r w:rsidRPr="009F44B2">
              <w:rPr>
                <w:rFonts w:ascii="Calibri" w:eastAsia="Times New Roman" w:hAnsi="Calibri" w:cs="Calibri"/>
                <w:color w:val="000000"/>
                <w:sz w:val="18"/>
                <w:szCs w:val="18"/>
                <w:lang w:eastAsia="en-GB"/>
              </w:rPr>
              <w:t>-2017-0001-OE</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95" w:type="pct"/>
            <w:tcBorders>
              <w:top w:val="nil"/>
              <w:left w:val="single" w:sz="8" w:space="0" w:color="auto"/>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168.976</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B12150" w:rsidRDefault="00E56015" w:rsidP="00B12150">
            <w:pPr>
              <w:spacing w:after="0" w:line="240" w:lineRule="auto"/>
              <w:jc w:val="right"/>
              <w:rPr>
                <w:rFonts w:ascii="Calibri" w:eastAsia="Times New Roman" w:hAnsi="Calibri" w:cs="Calibri"/>
                <w:color w:val="000000"/>
                <w:sz w:val="18"/>
                <w:szCs w:val="18"/>
                <w:lang w:eastAsia="en-GB"/>
              </w:rPr>
            </w:pPr>
          </w:p>
        </w:tc>
        <w:tc>
          <w:tcPr>
            <w:tcW w:w="467" w:type="pct"/>
            <w:tcBorders>
              <w:top w:val="nil"/>
              <w:left w:val="nil"/>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131.32</w:t>
            </w:r>
            <w:r>
              <w:rPr>
                <w:rFonts w:ascii="Calibri" w:hAnsi="Calibri"/>
                <w:color w:val="000000"/>
                <w:sz w:val="18"/>
                <w:szCs w:val="18"/>
              </w:rPr>
              <w:t>5</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nil"/>
              <w:left w:val="nil"/>
              <w:bottom w:val="single" w:sz="4" w:space="0" w:color="auto"/>
              <w:right w:val="single" w:sz="8"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B12150">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497A0E">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-2017-0001-OE</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95" w:type="pct"/>
            <w:tcBorders>
              <w:top w:val="nil"/>
              <w:left w:val="single" w:sz="8" w:space="0" w:color="auto"/>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139.72</w:t>
            </w:r>
            <w:r>
              <w:rPr>
                <w:rFonts w:ascii="Calibri" w:hAnsi="Calibri"/>
                <w:color w:val="000000"/>
                <w:sz w:val="18"/>
                <w:szCs w:val="18"/>
              </w:rPr>
              <w:t>9</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B12150" w:rsidRDefault="00E56015" w:rsidP="00B12150">
            <w:pPr>
              <w:spacing w:after="0" w:line="240" w:lineRule="auto"/>
              <w:jc w:val="right"/>
              <w:rPr>
                <w:rFonts w:ascii="Calibri" w:eastAsia="Times New Roman" w:hAnsi="Calibri" w:cs="Calibri"/>
                <w:color w:val="000000"/>
                <w:sz w:val="18"/>
                <w:szCs w:val="18"/>
                <w:lang w:eastAsia="en-GB"/>
              </w:rPr>
            </w:pPr>
          </w:p>
        </w:tc>
        <w:tc>
          <w:tcPr>
            <w:tcW w:w="467" w:type="pct"/>
            <w:tcBorders>
              <w:top w:val="nil"/>
              <w:left w:val="nil"/>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116.134</w:t>
            </w:r>
          </w:p>
        </w:tc>
        <w:tc>
          <w:tcPr>
            <w:tcW w:w="425"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nil"/>
              <w:left w:val="nil"/>
              <w:bottom w:val="single" w:sz="4" w:space="0" w:color="auto"/>
              <w:right w:val="single" w:sz="8"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B12150">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497A0E">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-2017-0001-OE</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95" w:type="pct"/>
            <w:tcBorders>
              <w:top w:val="nil"/>
              <w:left w:val="single" w:sz="8" w:space="0" w:color="auto"/>
              <w:bottom w:val="single" w:sz="8"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120.83</w:t>
            </w:r>
            <w:r>
              <w:rPr>
                <w:rFonts w:ascii="Calibri" w:hAnsi="Calibri"/>
                <w:color w:val="000000"/>
                <w:sz w:val="18"/>
                <w:szCs w:val="18"/>
              </w:rPr>
              <w:t>4</w:t>
            </w:r>
          </w:p>
        </w:tc>
        <w:tc>
          <w:tcPr>
            <w:tcW w:w="386" w:type="pct"/>
            <w:tcBorders>
              <w:top w:val="nil"/>
              <w:left w:val="nil"/>
              <w:bottom w:val="single" w:sz="8" w:space="0" w:color="auto"/>
              <w:right w:val="single" w:sz="4" w:space="0" w:color="auto"/>
            </w:tcBorders>
            <w:shd w:val="clear" w:color="auto" w:fill="D9D9D9" w:themeFill="background1" w:themeFillShade="D9"/>
            <w:noWrap/>
            <w:vAlign w:val="center"/>
          </w:tcPr>
          <w:p w:rsidR="00E56015" w:rsidRPr="00B12150" w:rsidRDefault="00E56015" w:rsidP="00B12150">
            <w:pPr>
              <w:spacing w:after="0" w:line="240" w:lineRule="auto"/>
              <w:jc w:val="right"/>
              <w:rPr>
                <w:rFonts w:ascii="Calibri" w:eastAsia="Times New Roman" w:hAnsi="Calibri" w:cs="Calibri"/>
                <w:color w:val="000000"/>
                <w:sz w:val="18"/>
                <w:szCs w:val="18"/>
                <w:lang w:eastAsia="en-GB"/>
              </w:rPr>
            </w:pPr>
          </w:p>
        </w:tc>
        <w:tc>
          <w:tcPr>
            <w:tcW w:w="467" w:type="pct"/>
            <w:tcBorders>
              <w:top w:val="nil"/>
              <w:left w:val="nil"/>
              <w:bottom w:val="single" w:sz="8"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111.330</w:t>
            </w:r>
          </w:p>
        </w:tc>
        <w:tc>
          <w:tcPr>
            <w:tcW w:w="425" w:type="pct"/>
            <w:tcBorders>
              <w:top w:val="nil"/>
              <w:left w:val="nil"/>
              <w:bottom w:val="single" w:sz="8"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nil"/>
              <w:left w:val="nil"/>
              <w:bottom w:val="single" w:sz="8"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nil"/>
              <w:left w:val="nil"/>
              <w:bottom w:val="single" w:sz="8" w:space="0" w:color="auto"/>
              <w:right w:val="single" w:sz="8"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2227"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a Revised Estimate received from the MS?</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015" w:rsidRPr="009F44B2" w:rsidRDefault="00E56015" w:rsidP="00E56015">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294"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Revised Estimate received from MS (kt)</w:t>
            </w:r>
          </w:p>
        </w:tc>
        <w:tc>
          <w:tcPr>
            <w:tcW w:w="77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single" w:sz="4" w:space="0" w:color="auto"/>
              <w:bottom w:val="single" w:sz="4" w:space="0" w:color="auto"/>
              <w:right w:val="nil"/>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95" w:type="pct"/>
            <w:tcBorders>
              <w:top w:val="nil"/>
              <w:left w:val="single" w:sz="8" w:space="0" w:color="auto"/>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8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67"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425"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21"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B12150">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497A0E">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-2017-0001-RE</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95" w:type="pct"/>
            <w:tcBorders>
              <w:top w:val="single" w:sz="4" w:space="0" w:color="auto"/>
              <w:left w:val="single" w:sz="8" w:space="0" w:color="auto"/>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178.94</w:t>
            </w:r>
            <w:r>
              <w:rPr>
                <w:rFonts w:ascii="Calibri" w:hAnsi="Calibri"/>
                <w:color w:val="000000"/>
                <w:sz w:val="18"/>
                <w:szCs w:val="18"/>
              </w:rPr>
              <w:t>3</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B12150" w:rsidRDefault="00E56015" w:rsidP="00B12150">
            <w:pPr>
              <w:spacing w:after="0" w:line="240" w:lineRule="auto"/>
              <w:jc w:val="right"/>
              <w:rPr>
                <w:rFonts w:ascii="Calibri" w:eastAsia="Times New Roman" w:hAnsi="Calibri" w:cs="Calibri"/>
                <w:color w:val="000000"/>
                <w:sz w:val="18"/>
                <w:szCs w:val="18"/>
                <w:lang w:eastAsia="en-GB"/>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132.434</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nil"/>
              <w:left w:val="nil"/>
              <w:bottom w:val="single" w:sz="4" w:space="0" w:color="auto"/>
              <w:right w:val="single" w:sz="8"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B12150">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497A0E">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-2017-0001-RE</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95" w:type="pct"/>
            <w:tcBorders>
              <w:top w:val="single" w:sz="4" w:space="0" w:color="auto"/>
              <w:left w:val="single" w:sz="8" w:space="0" w:color="auto"/>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149.423</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E56015" w:rsidRPr="00B12150" w:rsidRDefault="00E56015" w:rsidP="00B12150">
            <w:pPr>
              <w:spacing w:after="0" w:line="240" w:lineRule="auto"/>
              <w:jc w:val="right"/>
              <w:rPr>
                <w:rFonts w:ascii="Calibri" w:eastAsia="Times New Roman" w:hAnsi="Calibri" w:cs="Calibri"/>
                <w:color w:val="000000"/>
                <w:sz w:val="18"/>
                <w:szCs w:val="18"/>
                <w:lang w:eastAsia="en-GB"/>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117.192</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nil"/>
              <w:left w:val="nil"/>
              <w:bottom w:val="single" w:sz="4" w:space="0" w:color="auto"/>
              <w:right w:val="single" w:sz="8"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B12150">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497A0E">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-2017-0001-RE</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95" w:type="pct"/>
            <w:tcBorders>
              <w:top w:val="single" w:sz="4" w:space="0" w:color="auto"/>
              <w:left w:val="single" w:sz="8" w:space="0" w:color="auto"/>
              <w:bottom w:val="single" w:sz="8"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131.737</w:t>
            </w:r>
          </w:p>
        </w:tc>
        <w:tc>
          <w:tcPr>
            <w:tcW w:w="386" w:type="pct"/>
            <w:tcBorders>
              <w:top w:val="nil"/>
              <w:left w:val="nil"/>
              <w:bottom w:val="single" w:sz="8" w:space="0" w:color="auto"/>
              <w:right w:val="single" w:sz="4" w:space="0" w:color="auto"/>
            </w:tcBorders>
            <w:shd w:val="clear" w:color="auto" w:fill="D9D9D9" w:themeFill="background1" w:themeFillShade="D9"/>
            <w:noWrap/>
            <w:vAlign w:val="center"/>
          </w:tcPr>
          <w:p w:rsidR="00E56015" w:rsidRPr="00B12150" w:rsidRDefault="00E56015" w:rsidP="00B12150">
            <w:pPr>
              <w:spacing w:after="0" w:line="240" w:lineRule="auto"/>
              <w:jc w:val="right"/>
              <w:rPr>
                <w:rFonts w:ascii="Calibri" w:eastAsia="Times New Roman" w:hAnsi="Calibri" w:cs="Calibri"/>
                <w:color w:val="000000"/>
                <w:sz w:val="18"/>
                <w:szCs w:val="18"/>
                <w:lang w:eastAsia="en-GB"/>
              </w:rPr>
            </w:pPr>
          </w:p>
        </w:tc>
        <w:tc>
          <w:tcPr>
            <w:tcW w:w="467" w:type="pct"/>
            <w:tcBorders>
              <w:top w:val="single" w:sz="4" w:space="0" w:color="auto"/>
              <w:left w:val="single" w:sz="4" w:space="0" w:color="auto"/>
              <w:bottom w:val="single" w:sz="8" w:space="0" w:color="auto"/>
              <w:right w:val="single" w:sz="4" w:space="0" w:color="auto"/>
            </w:tcBorders>
            <w:shd w:val="clear" w:color="auto" w:fill="auto"/>
            <w:noWrap/>
            <w:vAlign w:val="center"/>
          </w:tcPr>
          <w:p w:rsidR="00E56015" w:rsidRPr="00B12150" w:rsidRDefault="00B12150" w:rsidP="00B12150">
            <w:pPr>
              <w:spacing w:after="0"/>
              <w:rPr>
                <w:rFonts w:ascii="Calibri" w:hAnsi="Calibri"/>
                <w:color w:val="000000"/>
                <w:sz w:val="18"/>
                <w:szCs w:val="18"/>
              </w:rPr>
            </w:pPr>
            <w:r w:rsidRPr="00B12150">
              <w:rPr>
                <w:rFonts w:ascii="Calibri" w:hAnsi="Calibri"/>
                <w:color w:val="000000"/>
                <w:sz w:val="18"/>
                <w:szCs w:val="18"/>
              </w:rPr>
              <w:t>112.36</w:t>
            </w:r>
            <w:r>
              <w:rPr>
                <w:rFonts w:ascii="Calibri" w:hAnsi="Calibri"/>
                <w:color w:val="000000"/>
                <w:sz w:val="18"/>
                <w:szCs w:val="18"/>
              </w:rPr>
              <w:t>1</w:t>
            </w:r>
          </w:p>
        </w:tc>
        <w:tc>
          <w:tcPr>
            <w:tcW w:w="425"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nil"/>
              <w:left w:val="nil"/>
              <w:bottom w:val="single" w:sz="8" w:space="0" w:color="auto"/>
              <w:right w:val="single" w:sz="8" w:space="0" w:color="auto"/>
            </w:tcBorders>
            <w:shd w:val="clear" w:color="auto" w:fill="auto"/>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2227"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Revised Estimate accepted by the TERT?</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015" w:rsidRPr="009F44B2" w:rsidRDefault="00E56015" w:rsidP="00E56015">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yes</w:t>
            </w: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294"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Technical Correction calculated by TERT (kt)</w:t>
            </w:r>
          </w:p>
        </w:tc>
        <w:tc>
          <w:tcPr>
            <w:tcW w:w="77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single" w:sz="4" w:space="0" w:color="auto"/>
              <w:bottom w:val="single" w:sz="4" w:space="0" w:color="auto"/>
              <w:right w:val="nil"/>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95" w:type="pct"/>
            <w:tcBorders>
              <w:top w:val="nil"/>
              <w:left w:val="single" w:sz="8" w:space="0" w:color="auto"/>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86"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67"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425"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21" w:type="pct"/>
            <w:tcBorders>
              <w:top w:val="nil"/>
              <w:left w:val="nil"/>
              <w:bottom w:val="single" w:sz="4" w:space="0" w:color="auto"/>
              <w:right w:val="single" w:sz="4" w:space="0" w:color="auto"/>
            </w:tcBorders>
            <w:shd w:val="clear" w:color="000000" w:fill="00B0F0"/>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545005">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-2017-0001-TC</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95" w:type="pct"/>
            <w:tcBorders>
              <w:top w:val="single" w:sz="4" w:space="0" w:color="auto"/>
              <w:left w:val="single" w:sz="8"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5"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single" w:sz="4" w:space="0" w:color="auto"/>
              <w:left w:val="single" w:sz="4" w:space="0" w:color="auto"/>
              <w:bottom w:val="single" w:sz="4" w:space="0" w:color="auto"/>
              <w:right w:val="single" w:sz="8"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545005">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-2017-0001-TC</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95" w:type="pct"/>
            <w:tcBorders>
              <w:top w:val="single" w:sz="4" w:space="0" w:color="auto"/>
              <w:left w:val="single" w:sz="8"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5"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single" w:sz="4" w:space="0" w:color="auto"/>
              <w:left w:val="single" w:sz="4" w:space="0" w:color="auto"/>
              <w:bottom w:val="single" w:sz="4" w:space="0" w:color="auto"/>
              <w:right w:val="single" w:sz="8"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w:t>
            </w:r>
            <w:r w:rsidR="00545005">
              <w:rPr>
                <w:rFonts w:ascii="Calibri" w:eastAsia="Times New Roman" w:hAnsi="Calibri" w:cs="Calibri"/>
                <w:color w:val="000000"/>
                <w:sz w:val="18"/>
                <w:szCs w:val="18"/>
                <w:lang w:eastAsia="en-GB"/>
              </w:rPr>
              <w:t xml:space="preserve"> NatTot</w:t>
            </w:r>
            <w:r w:rsidR="00545005" w:rsidRPr="009F44B2" w:rsidDel="00545005">
              <w:rPr>
                <w:rFonts w:ascii="Calibri" w:eastAsia="Times New Roman" w:hAnsi="Calibri" w:cs="Calibri"/>
                <w:color w:val="000000"/>
                <w:sz w:val="18"/>
                <w:szCs w:val="18"/>
                <w:lang w:eastAsia="en-GB"/>
              </w:rPr>
              <w:t xml:space="preserve"> </w:t>
            </w:r>
            <w:r w:rsidRPr="009F44B2">
              <w:rPr>
                <w:rFonts w:ascii="Calibri" w:eastAsia="Times New Roman" w:hAnsi="Calibri" w:cs="Calibri"/>
                <w:color w:val="000000"/>
                <w:sz w:val="18"/>
                <w:szCs w:val="18"/>
                <w:lang w:eastAsia="en-GB"/>
              </w:rPr>
              <w:t>-2017-0001-TC</w:t>
            </w:r>
          </w:p>
        </w:tc>
        <w:tc>
          <w:tcPr>
            <w:tcW w:w="456" w:type="pct"/>
            <w:tcBorders>
              <w:top w:val="nil"/>
              <w:left w:val="nil"/>
              <w:bottom w:val="single" w:sz="4" w:space="0" w:color="auto"/>
              <w:right w:val="nil"/>
            </w:tcBorders>
            <w:shd w:val="clear" w:color="000000" w:fill="00B0F0"/>
            <w:noWrap/>
            <w:vAlign w:val="center"/>
            <w:hideMark/>
          </w:tcPr>
          <w:p w:rsidR="00E56015" w:rsidRPr="009F44B2" w:rsidRDefault="00E56015" w:rsidP="00E56015">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95" w:type="pct"/>
            <w:tcBorders>
              <w:top w:val="single" w:sz="4" w:space="0" w:color="auto"/>
              <w:left w:val="single" w:sz="8" w:space="0" w:color="auto"/>
              <w:bottom w:val="single" w:sz="8"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386" w:type="pct"/>
            <w:tcBorders>
              <w:top w:val="single" w:sz="4" w:space="0" w:color="auto"/>
              <w:left w:val="single" w:sz="4" w:space="0" w:color="auto"/>
              <w:bottom w:val="single" w:sz="8"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67" w:type="pct"/>
            <w:tcBorders>
              <w:top w:val="single" w:sz="4" w:space="0" w:color="auto"/>
              <w:left w:val="single" w:sz="4" w:space="0" w:color="auto"/>
              <w:bottom w:val="single" w:sz="8"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5" w:type="pct"/>
            <w:tcBorders>
              <w:top w:val="single" w:sz="4" w:space="0" w:color="auto"/>
              <w:left w:val="single" w:sz="4" w:space="0" w:color="auto"/>
              <w:bottom w:val="single" w:sz="8"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421" w:type="pct"/>
            <w:tcBorders>
              <w:top w:val="single" w:sz="4" w:space="0" w:color="auto"/>
              <w:left w:val="single" w:sz="4" w:space="0" w:color="auto"/>
              <w:bottom w:val="single" w:sz="8" w:space="0" w:color="auto"/>
              <w:right w:val="single" w:sz="4"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773" w:type="pct"/>
            <w:tcBorders>
              <w:top w:val="single" w:sz="4" w:space="0" w:color="auto"/>
              <w:left w:val="single" w:sz="4" w:space="0" w:color="auto"/>
              <w:bottom w:val="single" w:sz="8" w:space="0" w:color="auto"/>
              <w:right w:val="single" w:sz="8" w:space="0" w:color="auto"/>
            </w:tcBorders>
            <w:shd w:val="clear" w:color="000000" w:fill="D9D9D9"/>
            <w:noWrap/>
            <w:vAlign w:val="center"/>
          </w:tcPr>
          <w:p w:rsidR="00E56015" w:rsidRPr="009F44B2" w:rsidRDefault="00E56015" w:rsidP="00E56015">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2227"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Technical Correction accepted by the MS?</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p>
        </w:tc>
        <w:tc>
          <w:tcPr>
            <w:tcW w:w="467"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E56015" w:rsidRPr="009F44B2" w:rsidTr="00685701">
        <w:trPr>
          <w:trHeight w:val="227"/>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E56015" w:rsidRPr="009F44B2" w:rsidRDefault="00E56015" w:rsidP="00E56015">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single" w:sz="4" w:space="0" w:color="auto"/>
              <w:right w:val="nil"/>
            </w:tcBorders>
            <w:shd w:val="clear" w:color="000000" w:fill="BDD7EE"/>
            <w:vAlign w:val="center"/>
            <w:hideMark/>
          </w:tcPr>
          <w:p w:rsidR="00E56015" w:rsidRPr="009F44B2" w:rsidRDefault="00E56015" w:rsidP="00E56015">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single" w:sz="4" w:space="0" w:color="auto"/>
              <w:right w:val="single" w:sz="4" w:space="0" w:color="auto"/>
            </w:tcBorders>
            <w:shd w:val="clear" w:color="000000" w:fill="BDD7EE"/>
            <w:noWrap/>
            <w:vAlign w:val="center"/>
            <w:hideMark/>
          </w:tcPr>
          <w:p w:rsidR="00E56015" w:rsidRPr="009F44B2" w:rsidRDefault="00E56015" w:rsidP="00E56015">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bl>
    <w:p w:rsidR="00685701" w:rsidRDefault="00685701" w:rsidP="001553E9"/>
    <w:p w:rsidR="00685701" w:rsidRDefault="00685701" w:rsidP="001553E9"/>
    <w:p w:rsidR="00685701" w:rsidRDefault="00685701" w:rsidP="001553E9"/>
    <w:p w:rsidR="00685701" w:rsidRDefault="00685701" w:rsidP="001553E9"/>
    <w:tbl>
      <w:tblPr>
        <w:tblW w:w="5000" w:type="pct"/>
        <w:tblLayout w:type="fixed"/>
        <w:tblLook w:val="04A0" w:firstRow="1" w:lastRow="0" w:firstColumn="1" w:lastColumn="0" w:noHBand="0" w:noVBand="1"/>
      </w:tblPr>
      <w:tblGrid>
        <w:gridCol w:w="308"/>
        <w:gridCol w:w="2213"/>
        <w:gridCol w:w="858"/>
        <w:gridCol w:w="1120"/>
        <w:gridCol w:w="726"/>
        <w:gridCol w:w="879"/>
        <w:gridCol w:w="800"/>
        <w:gridCol w:w="792"/>
        <w:gridCol w:w="1454"/>
        <w:gridCol w:w="258"/>
      </w:tblGrid>
      <w:tr w:rsidR="009F44B2" w:rsidRPr="009F44B2" w:rsidTr="007C4027">
        <w:trPr>
          <w:trHeight w:val="227"/>
        </w:trPr>
        <w:tc>
          <w:tcPr>
            <w:tcW w:w="164"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9F44B2" w:rsidRPr="009F44B2" w:rsidRDefault="009F44B2" w:rsidP="009F44B2">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t>1</w:t>
            </w:r>
          </w:p>
        </w:tc>
        <w:tc>
          <w:tcPr>
            <w:tcW w:w="117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single" w:sz="4" w:space="0" w:color="auto"/>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ID:</w:t>
            </w:r>
          </w:p>
        </w:tc>
        <w:tc>
          <w:tcPr>
            <w:tcW w:w="2749"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b/>
                <w:bCs/>
                <w:sz w:val="18"/>
                <w:szCs w:val="18"/>
                <w:lang w:eastAsia="en-GB"/>
              </w:rPr>
            </w:pPr>
            <w:r w:rsidRPr="009F44B2">
              <w:rPr>
                <w:rFonts w:ascii="Calibri" w:eastAsia="Times New Roman" w:hAnsi="Calibri" w:cs="Calibri"/>
                <w:b/>
                <w:bCs/>
                <w:sz w:val="18"/>
                <w:szCs w:val="18"/>
                <w:lang w:eastAsia="en-GB"/>
              </w:rPr>
              <w:t>AT-1A2-2017-0001</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URL:</w:t>
            </w:r>
          </w:p>
        </w:tc>
        <w:tc>
          <w:tcPr>
            <w:tcW w:w="2749"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BC6C77" w:rsidP="009F44B2">
            <w:pPr>
              <w:spacing w:after="0" w:line="240" w:lineRule="auto"/>
              <w:rPr>
                <w:rFonts w:ascii="Calibri" w:eastAsia="Times New Roman" w:hAnsi="Calibri" w:cs="Calibri"/>
                <w:color w:val="0563C1"/>
                <w:sz w:val="18"/>
                <w:szCs w:val="18"/>
                <w:u w:val="single"/>
                <w:lang w:eastAsia="en-GB"/>
              </w:rPr>
            </w:pPr>
            <w:hyperlink r:id="rId13" w:history="1">
              <w:r w:rsidR="009F44B2" w:rsidRPr="009F44B2">
                <w:rPr>
                  <w:rFonts w:ascii="Calibri" w:eastAsia="Times New Roman" w:hAnsi="Calibri" w:cs="Calibri"/>
                  <w:color w:val="0563C1"/>
                  <w:sz w:val="18"/>
                  <w:szCs w:val="18"/>
                  <w:u w:val="single"/>
                  <w:lang w:eastAsia="en-GB"/>
                </w:rPr>
                <w:t>https://emrt-necd.eionet.europa.eu/2017/AT-1A2-2017-0001</w:t>
              </w:r>
            </w:hyperlink>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Member State:</w:t>
            </w:r>
          </w:p>
        </w:tc>
        <w:tc>
          <w:tcPr>
            <w:tcW w:w="2749"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Austria</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Sector:</w:t>
            </w:r>
          </w:p>
        </w:tc>
        <w:tc>
          <w:tcPr>
            <w:tcW w:w="2749"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1A Energy</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Pollutant</w:t>
            </w:r>
          </w:p>
        </w:tc>
        <w:tc>
          <w:tcPr>
            <w:tcW w:w="2749"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57457C" w:rsidP="009F44B2">
            <w:pPr>
              <w:spacing w:after="0" w:line="240" w:lineRule="auto"/>
              <w:rPr>
                <w:rFonts w:ascii="Calibri" w:eastAsia="Times New Roman" w:hAnsi="Calibri" w:cs="Calibri"/>
                <w:sz w:val="18"/>
                <w:szCs w:val="18"/>
                <w:lang w:eastAsia="en-GB"/>
              </w:rPr>
            </w:pPr>
            <w:r w:rsidRPr="0057457C">
              <w:rPr>
                <w:rFonts w:ascii="Calibri" w:eastAsia="Times New Roman" w:hAnsi="Calibri" w:cs="Calibri"/>
                <w:sz w:val="18"/>
                <w:szCs w:val="18"/>
                <w:lang w:eastAsia="en-GB"/>
              </w:rPr>
              <w:t>SO</w:t>
            </w:r>
            <w:r w:rsidRPr="0057457C">
              <w:rPr>
                <w:rFonts w:ascii="Calibri" w:eastAsia="Times New Roman" w:hAnsi="Calibri" w:cs="Calibri"/>
                <w:sz w:val="18"/>
                <w:szCs w:val="18"/>
                <w:vertAlign w:val="subscript"/>
                <w:lang w:eastAsia="en-GB"/>
              </w:rPr>
              <w:t>2</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Completed by (SE): </w:t>
            </w:r>
          </w:p>
        </w:tc>
        <w:tc>
          <w:tcPr>
            <w:tcW w:w="2749"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Laetitia Nicco</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(LR): </w:t>
            </w:r>
          </w:p>
        </w:tc>
        <w:tc>
          <w:tcPr>
            <w:tcW w:w="2749"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Justin Goodwin</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(Counterpart): </w:t>
            </w:r>
          </w:p>
        </w:tc>
        <w:tc>
          <w:tcPr>
            <w:tcW w:w="2749"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Laetitia Serveau</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59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67"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2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21"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val="restart"/>
            <w:tcBorders>
              <w:top w:val="single" w:sz="4" w:space="0" w:color="auto"/>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underlying problem:</w:t>
            </w:r>
          </w:p>
        </w:tc>
        <w:tc>
          <w:tcPr>
            <w:tcW w:w="3522"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57457C" w:rsidP="009F44B2">
            <w:pPr>
              <w:spacing w:after="0" w:line="240" w:lineRule="auto"/>
              <w:rPr>
                <w:rFonts w:ascii="Calibri" w:eastAsia="Times New Roman" w:hAnsi="Calibri" w:cs="Calibri"/>
                <w:sz w:val="18"/>
                <w:szCs w:val="18"/>
                <w:lang w:eastAsia="en-GB"/>
              </w:rPr>
            </w:pPr>
            <w:r w:rsidRPr="0057457C">
              <w:rPr>
                <w:rFonts w:ascii="Calibri" w:eastAsia="Times New Roman" w:hAnsi="Calibri" w:cs="Calibri"/>
                <w:sz w:val="18"/>
                <w:szCs w:val="18"/>
                <w:lang w:eastAsia="en-GB"/>
              </w:rPr>
              <w:t>SO</w:t>
            </w:r>
            <w:r w:rsidRPr="0057457C">
              <w:rPr>
                <w:rFonts w:ascii="Calibri" w:eastAsia="Times New Roman" w:hAnsi="Calibri" w:cs="Calibri"/>
                <w:sz w:val="18"/>
                <w:szCs w:val="18"/>
                <w:vertAlign w:val="subscript"/>
                <w:lang w:eastAsia="en-GB"/>
              </w:rPr>
              <w:t>2</w:t>
            </w:r>
            <w:r w:rsidR="009F44B2" w:rsidRPr="009F44B2">
              <w:rPr>
                <w:rFonts w:ascii="Calibri" w:eastAsia="Times New Roman" w:hAnsi="Calibri" w:cs="Calibri"/>
                <w:sz w:val="18"/>
                <w:szCs w:val="18"/>
                <w:lang w:eastAsia="en-GB"/>
              </w:rPr>
              <w:t xml:space="preserve"> emissions for natural gas are not estimated in the inventory because Austria considered it as negligible.</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tcBorders>
              <w:top w:val="single" w:sz="4" w:space="0" w:color="auto"/>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22"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tcBorders>
              <w:top w:val="single" w:sz="4" w:space="0" w:color="auto"/>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22"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val="restart"/>
            <w:tcBorders>
              <w:top w:val="nil"/>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rationale for the corrected estimate:</w:t>
            </w:r>
          </w:p>
        </w:tc>
        <w:tc>
          <w:tcPr>
            <w:tcW w:w="3522"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9F44B2" w:rsidP="009F44B2">
            <w:pPr>
              <w:spacing w:after="0" w:line="240" w:lineRule="auto"/>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xml:space="preserve">Underestimation of </w:t>
            </w:r>
            <w:r w:rsidR="0057457C" w:rsidRPr="0057457C">
              <w:rPr>
                <w:rFonts w:ascii="Calibri" w:eastAsia="Times New Roman" w:hAnsi="Calibri" w:cs="Calibri"/>
                <w:sz w:val="18"/>
                <w:szCs w:val="18"/>
                <w:lang w:eastAsia="en-GB"/>
              </w:rPr>
              <w:t>SO</w:t>
            </w:r>
            <w:r w:rsidR="0057457C" w:rsidRPr="0057457C">
              <w:rPr>
                <w:rFonts w:ascii="Calibri" w:eastAsia="Times New Roman" w:hAnsi="Calibri" w:cs="Calibri"/>
                <w:sz w:val="18"/>
                <w:szCs w:val="18"/>
                <w:vertAlign w:val="subscript"/>
                <w:lang w:eastAsia="en-GB"/>
              </w:rPr>
              <w:t>2</w:t>
            </w:r>
            <w:r w:rsidRPr="009F44B2">
              <w:rPr>
                <w:rFonts w:ascii="Calibri" w:eastAsia="Times New Roman" w:hAnsi="Calibri" w:cs="Calibri"/>
                <w:sz w:val="18"/>
                <w:szCs w:val="18"/>
                <w:lang w:eastAsia="en-GB"/>
              </w:rPr>
              <w:t xml:space="preserve"> emissions.</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22"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22"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val="restart"/>
            <w:tcBorders>
              <w:top w:val="nil"/>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Summarise the methodology used:</w:t>
            </w:r>
          </w:p>
        </w:tc>
        <w:tc>
          <w:tcPr>
            <w:tcW w:w="3522"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National natural gas consumptions for 2005/2010/2015 provided by Austria and highest </w:t>
            </w:r>
            <w:r w:rsidR="0057457C" w:rsidRPr="0057457C">
              <w:rPr>
                <w:rFonts w:ascii="Calibri" w:eastAsia="Times New Roman" w:hAnsi="Calibri" w:cs="Calibri"/>
                <w:color w:val="000000"/>
                <w:sz w:val="18"/>
                <w:szCs w:val="18"/>
                <w:lang w:eastAsia="en-GB"/>
              </w:rPr>
              <w:t>SO</w:t>
            </w:r>
            <w:r w:rsidR="0057457C" w:rsidRPr="0057457C">
              <w:rPr>
                <w:rFonts w:ascii="Calibri" w:eastAsia="Times New Roman" w:hAnsi="Calibri" w:cs="Calibri"/>
                <w:color w:val="000000"/>
                <w:sz w:val="18"/>
                <w:szCs w:val="18"/>
                <w:vertAlign w:val="subscript"/>
                <w:lang w:eastAsia="en-GB"/>
              </w:rPr>
              <w:t>2</w:t>
            </w:r>
            <w:r w:rsidRPr="009F44B2">
              <w:rPr>
                <w:rFonts w:ascii="Calibri" w:eastAsia="Times New Roman" w:hAnsi="Calibri" w:cs="Calibri"/>
                <w:color w:val="000000"/>
                <w:sz w:val="18"/>
                <w:szCs w:val="18"/>
                <w:lang w:eastAsia="en-GB"/>
              </w:rPr>
              <w:t xml:space="preserve"> EF provided by the 201</w:t>
            </w:r>
            <w:r w:rsidR="006F6ABD">
              <w:rPr>
                <w:rFonts w:ascii="Calibri" w:eastAsia="Times New Roman" w:hAnsi="Calibri" w:cs="Calibri"/>
                <w:color w:val="000000"/>
                <w:sz w:val="18"/>
                <w:szCs w:val="18"/>
                <w:lang w:eastAsia="en-GB"/>
              </w:rPr>
              <w:t>6</w:t>
            </w:r>
            <w:r w:rsidRPr="009F44B2">
              <w:rPr>
                <w:rFonts w:ascii="Calibri" w:eastAsia="Times New Roman" w:hAnsi="Calibri" w:cs="Calibri"/>
                <w:color w:val="000000"/>
                <w:sz w:val="18"/>
                <w:szCs w:val="18"/>
                <w:lang w:eastAsia="en-GB"/>
              </w:rPr>
              <w:t xml:space="preserve"> EMEP/EEA Guidebook (among 1A1, 1A2 and 1A4 chapters).</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22"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22"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22"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single" w:sz="4" w:space="0" w:color="auto"/>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17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45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595"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38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467"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425"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421"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773"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138"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r>
      <w:tr w:rsidR="009F44B2" w:rsidRPr="009F44B2" w:rsidTr="007C4027">
        <w:trPr>
          <w:trHeight w:val="227"/>
        </w:trPr>
        <w:tc>
          <w:tcPr>
            <w:tcW w:w="164" w:type="pct"/>
            <w:vMerge w:val="restart"/>
            <w:tcBorders>
              <w:top w:val="single" w:sz="4" w:space="0" w:color="auto"/>
              <w:left w:val="single" w:sz="4" w:space="0" w:color="auto"/>
              <w:bottom w:val="single" w:sz="4" w:space="0" w:color="000000"/>
              <w:right w:val="single" w:sz="4" w:space="0" w:color="auto"/>
            </w:tcBorders>
            <w:shd w:val="clear" w:color="000000" w:fill="0070C0"/>
            <w:noWrap/>
            <w:vAlign w:val="center"/>
            <w:hideMark/>
          </w:tcPr>
          <w:p w:rsidR="009F44B2" w:rsidRPr="009F44B2" w:rsidRDefault="009F44B2" w:rsidP="009F44B2">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t>2</w:t>
            </w:r>
          </w:p>
        </w:tc>
        <w:tc>
          <w:tcPr>
            <w:tcW w:w="2227" w:type="pct"/>
            <w:gridSpan w:val="3"/>
            <w:tcBorders>
              <w:top w:val="single" w:sz="4" w:space="0" w:color="auto"/>
              <w:left w:val="single" w:sz="4" w:space="0" w:color="auto"/>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Details of the corrected estimate</w:t>
            </w:r>
          </w:p>
        </w:tc>
        <w:tc>
          <w:tcPr>
            <w:tcW w:w="386"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single" w:sz="4" w:space="0" w:color="auto"/>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9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293"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Original estimate (kt)</w:t>
            </w:r>
          </w:p>
        </w:tc>
        <w:tc>
          <w:tcPr>
            <w:tcW w:w="77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95"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67"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425"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21"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bookmarkStart w:id="118" w:name="RANGE!C37:J39"/>
            <w:r w:rsidRPr="009F44B2">
              <w:rPr>
                <w:rFonts w:ascii="Calibri" w:eastAsia="Times New Roman" w:hAnsi="Calibri" w:cs="Calibri"/>
                <w:color w:val="000000"/>
                <w:sz w:val="18"/>
                <w:szCs w:val="18"/>
                <w:lang w:eastAsia="en-GB"/>
              </w:rPr>
              <w:t>AT-1A2-2017-0001-OE</w:t>
            </w:r>
            <w:bookmarkEnd w:id="118"/>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95" w:type="pct"/>
            <w:tcBorders>
              <w:top w:val="nil"/>
              <w:left w:val="single" w:sz="8" w:space="0" w:color="auto"/>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0.000</w:t>
            </w:r>
          </w:p>
        </w:tc>
        <w:tc>
          <w:tcPr>
            <w:tcW w:w="467"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 estimated</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AT-1A2-2017-0001-OE</w:t>
            </w:r>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95" w:type="pct"/>
            <w:tcBorders>
              <w:top w:val="nil"/>
              <w:left w:val="single" w:sz="8" w:space="0" w:color="auto"/>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0.000</w:t>
            </w:r>
          </w:p>
        </w:tc>
        <w:tc>
          <w:tcPr>
            <w:tcW w:w="467"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 estimated</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AT-1A2-2017-0001-OE</w:t>
            </w:r>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95" w:type="pct"/>
            <w:tcBorders>
              <w:top w:val="nil"/>
              <w:left w:val="single" w:sz="8" w:space="0" w:color="auto"/>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0.000</w:t>
            </w:r>
          </w:p>
        </w:tc>
        <w:tc>
          <w:tcPr>
            <w:tcW w:w="467"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8"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 estimated</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2227"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a Revised Estimate received from the MS?</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yes</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293"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Revised Estimate received from MS (kt)</w:t>
            </w:r>
          </w:p>
        </w:tc>
        <w:tc>
          <w:tcPr>
            <w:tcW w:w="77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95"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67"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425"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21"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bookmarkStart w:id="119" w:name="RANGE!C45:J47"/>
            <w:r w:rsidRPr="009F44B2">
              <w:rPr>
                <w:rFonts w:ascii="Calibri" w:eastAsia="Times New Roman" w:hAnsi="Calibri" w:cs="Calibri"/>
                <w:color w:val="000000"/>
                <w:sz w:val="18"/>
                <w:szCs w:val="18"/>
                <w:lang w:eastAsia="en-GB"/>
              </w:rPr>
              <w:t>AT-1A2-2017-0001-RE</w:t>
            </w:r>
            <w:bookmarkEnd w:id="119"/>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95"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0.220</w:t>
            </w: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AT-1A2-2017-0001-RE</w:t>
            </w:r>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95"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0.220</w:t>
            </w: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AT-1A2-2017-0001-RE</w:t>
            </w:r>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95" w:type="pct"/>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0.185</w:t>
            </w:r>
          </w:p>
        </w:tc>
        <w:tc>
          <w:tcPr>
            <w:tcW w:w="467"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nil"/>
              <w:left w:val="nil"/>
              <w:bottom w:val="single" w:sz="8"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2227"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Revised Estimate accepted by the TERT?</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yes</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293"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Technical Correction calculated by TERT (kt)</w:t>
            </w:r>
          </w:p>
        </w:tc>
        <w:tc>
          <w:tcPr>
            <w:tcW w:w="77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56"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95"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67"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425"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21"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773"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single" w:sz="4" w:space="0" w:color="auto"/>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bookmarkStart w:id="120" w:name="RANGE!C53:J55"/>
            <w:r w:rsidRPr="009F44B2">
              <w:rPr>
                <w:rFonts w:ascii="Calibri" w:eastAsia="Times New Roman" w:hAnsi="Calibri" w:cs="Calibri"/>
                <w:color w:val="000000"/>
                <w:sz w:val="18"/>
                <w:szCs w:val="18"/>
                <w:lang w:eastAsia="en-GB"/>
              </w:rPr>
              <w:t>AT-1A2-2017-0001-TC</w:t>
            </w:r>
            <w:bookmarkEnd w:id="120"/>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95"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AT-1A2-2017-0001-TC</w:t>
            </w:r>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95"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AT-1A2-2017-0001-TC</w:t>
            </w:r>
          </w:p>
        </w:tc>
        <w:tc>
          <w:tcPr>
            <w:tcW w:w="456"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95" w:type="pct"/>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7"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5"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21"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773" w:type="pct"/>
            <w:tcBorders>
              <w:top w:val="single" w:sz="4" w:space="0" w:color="auto"/>
              <w:left w:val="single" w:sz="4" w:space="0" w:color="auto"/>
              <w:bottom w:val="single" w:sz="8"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2227"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Technical Correction accepted by the MS?</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7C4027">
        <w:trPr>
          <w:trHeight w:val="227"/>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7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5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95"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7"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5"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21"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773"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8" w:type="pct"/>
            <w:tcBorders>
              <w:top w:val="nil"/>
              <w:left w:val="nil"/>
              <w:bottom w:val="single" w:sz="4" w:space="0" w:color="auto"/>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bl>
    <w:p w:rsidR="00243F76" w:rsidRDefault="00243F76" w:rsidP="001553E9"/>
    <w:p w:rsidR="009F44B2" w:rsidRDefault="009F44B2" w:rsidP="001553E9"/>
    <w:tbl>
      <w:tblPr>
        <w:tblW w:w="5000" w:type="pct"/>
        <w:tblLayout w:type="fixed"/>
        <w:tblLook w:val="04A0" w:firstRow="1" w:lastRow="0" w:firstColumn="1" w:lastColumn="0" w:noHBand="0" w:noVBand="1"/>
      </w:tblPr>
      <w:tblGrid>
        <w:gridCol w:w="312"/>
        <w:gridCol w:w="2235"/>
        <w:gridCol w:w="975"/>
        <w:gridCol w:w="975"/>
        <w:gridCol w:w="971"/>
        <w:gridCol w:w="971"/>
        <w:gridCol w:w="971"/>
        <w:gridCol w:w="869"/>
        <w:gridCol w:w="871"/>
        <w:gridCol w:w="258"/>
      </w:tblGrid>
      <w:tr w:rsidR="009F44B2" w:rsidRPr="009F44B2" w:rsidTr="00E56015">
        <w:trPr>
          <w:trHeight w:val="227"/>
        </w:trPr>
        <w:tc>
          <w:tcPr>
            <w:tcW w:w="166"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9F44B2" w:rsidRPr="009F44B2" w:rsidRDefault="009F44B2" w:rsidP="009F44B2">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lastRenderedPageBreak/>
              <w:t>1</w:t>
            </w:r>
          </w:p>
        </w:tc>
        <w:tc>
          <w:tcPr>
            <w:tcW w:w="1188"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3"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single" w:sz="4" w:space="0" w:color="auto"/>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single" w:sz="4" w:space="0" w:color="auto"/>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ID:</w:t>
            </w:r>
          </w:p>
        </w:tc>
        <w:tc>
          <w:tcPr>
            <w:tcW w:w="3046"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b/>
                <w:bCs/>
                <w:sz w:val="18"/>
                <w:szCs w:val="18"/>
                <w:lang w:eastAsia="en-GB"/>
              </w:rPr>
            </w:pPr>
            <w:r w:rsidRPr="009F44B2">
              <w:rPr>
                <w:rFonts w:ascii="Calibri" w:eastAsia="Times New Roman" w:hAnsi="Calibri" w:cs="Calibri"/>
                <w:b/>
                <w:bCs/>
                <w:sz w:val="18"/>
                <w:szCs w:val="18"/>
                <w:lang w:eastAsia="en-GB"/>
              </w:rPr>
              <w:t>AT-3Da1-2017-0002</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URL:</w:t>
            </w:r>
          </w:p>
        </w:tc>
        <w:tc>
          <w:tcPr>
            <w:tcW w:w="3046"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BC6C77" w:rsidP="009F44B2">
            <w:pPr>
              <w:spacing w:after="0" w:line="240" w:lineRule="auto"/>
              <w:rPr>
                <w:rFonts w:ascii="Calibri" w:eastAsia="Times New Roman" w:hAnsi="Calibri" w:cs="Calibri"/>
                <w:color w:val="0563C1"/>
                <w:sz w:val="18"/>
                <w:szCs w:val="18"/>
                <w:u w:val="single"/>
                <w:lang w:eastAsia="en-GB"/>
              </w:rPr>
            </w:pPr>
            <w:hyperlink r:id="rId14" w:anchor="tab-qa" w:history="1">
              <w:r w:rsidR="009F44B2" w:rsidRPr="009F44B2">
                <w:rPr>
                  <w:rFonts w:ascii="Calibri" w:eastAsia="Times New Roman" w:hAnsi="Calibri" w:cs="Calibri"/>
                  <w:color w:val="0563C1"/>
                  <w:sz w:val="18"/>
                  <w:szCs w:val="18"/>
                  <w:u w:val="single"/>
                  <w:lang w:eastAsia="en-GB"/>
                </w:rPr>
                <w:t>https://emrt-necd.eionet.europa.eu/2017/AT-3Da1-2017-0002</w:t>
              </w:r>
            </w:hyperlink>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Member State:</w:t>
            </w:r>
          </w:p>
        </w:tc>
        <w:tc>
          <w:tcPr>
            <w:tcW w:w="3046"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Austria</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Sector:</w:t>
            </w:r>
          </w:p>
        </w:tc>
        <w:tc>
          <w:tcPr>
            <w:tcW w:w="3046"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3Da1 Inorganic N-fertilizers (includes also urea application)</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Pollutant</w:t>
            </w:r>
          </w:p>
        </w:tc>
        <w:tc>
          <w:tcPr>
            <w:tcW w:w="3046"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57457C" w:rsidP="009F44B2">
            <w:pPr>
              <w:spacing w:after="0" w:line="240" w:lineRule="auto"/>
              <w:rPr>
                <w:rFonts w:ascii="Calibri" w:eastAsia="Times New Roman" w:hAnsi="Calibri" w:cs="Calibri"/>
                <w:sz w:val="18"/>
                <w:szCs w:val="18"/>
                <w:lang w:eastAsia="en-GB"/>
              </w:rPr>
            </w:pPr>
            <w:r w:rsidRPr="0057457C">
              <w:rPr>
                <w:rFonts w:ascii="Calibri" w:eastAsia="Times New Roman" w:hAnsi="Calibri" w:cs="Calibri"/>
                <w:sz w:val="18"/>
                <w:szCs w:val="18"/>
                <w:lang w:eastAsia="en-GB"/>
              </w:rPr>
              <w:t>PM</w:t>
            </w:r>
            <w:r w:rsidRPr="0057457C">
              <w:rPr>
                <w:rFonts w:ascii="Calibri" w:eastAsia="Times New Roman" w:hAnsi="Calibri" w:cs="Calibri"/>
                <w:sz w:val="18"/>
                <w:szCs w:val="18"/>
                <w:vertAlign w:val="subscript"/>
                <w:lang w:eastAsia="en-GB"/>
              </w:rPr>
              <w:t>2.5</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single" w:sz="4" w:space="0" w:color="auto"/>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Completed by (SE): </w:t>
            </w:r>
          </w:p>
        </w:tc>
        <w:tc>
          <w:tcPr>
            <w:tcW w:w="3046"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Mette Mikkelsen</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(LR): </w:t>
            </w:r>
          </w:p>
        </w:tc>
        <w:tc>
          <w:tcPr>
            <w:tcW w:w="3046"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Justin Goodwin</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(Counterpart): </w:t>
            </w:r>
          </w:p>
        </w:tc>
        <w:tc>
          <w:tcPr>
            <w:tcW w:w="3046"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Beatriz Sanchez</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62"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val="restart"/>
            <w:tcBorders>
              <w:top w:val="single" w:sz="4" w:space="0" w:color="auto"/>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underlying problem:</w:t>
            </w:r>
          </w:p>
        </w:tc>
        <w:tc>
          <w:tcPr>
            <w:tcW w:w="3509"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9F44B2" w:rsidP="009F44B2">
            <w:pPr>
              <w:spacing w:after="0" w:line="240" w:lineRule="auto"/>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xml:space="preserve">TERT noticed that the emission of </w:t>
            </w:r>
            <w:r w:rsidR="0057457C" w:rsidRPr="0057457C">
              <w:rPr>
                <w:rFonts w:ascii="Calibri" w:eastAsia="Times New Roman" w:hAnsi="Calibri" w:cs="Calibri"/>
                <w:sz w:val="18"/>
                <w:szCs w:val="18"/>
                <w:lang w:eastAsia="en-GB"/>
              </w:rPr>
              <w:t>PM</w:t>
            </w:r>
            <w:r w:rsidR="0057457C" w:rsidRPr="0057457C">
              <w:rPr>
                <w:rFonts w:ascii="Calibri" w:eastAsia="Times New Roman" w:hAnsi="Calibri" w:cs="Calibri"/>
                <w:sz w:val="18"/>
                <w:szCs w:val="18"/>
                <w:vertAlign w:val="subscript"/>
                <w:lang w:eastAsia="en-GB"/>
              </w:rPr>
              <w:t>2.5</w:t>
            </w:r>
            <w:r w:rsidRPr="009F44B2">
              <w:rPr>
                <w:rFonts w:ascii="Calibri" w:eastAsia="Times New Roman" w:hAnsi="Calibri" w:cs="Calibri"/>
                <w:sz w:val="18"/>
                <w:szCs w:val="18"/>
                <w:lang w:eastAsia="en-GB"/>
              </w:rPr>
              <w:t xml:space="preserve"> from field operations (AT allocated the emission in NFR 3Da2a) is significant higher that Tier 1 default (2016 EMEP/EEA Guidebook 3D Table 3.1) for 2005, 2010 and 2015. TERT calculate the emission based on a Tier 1 approach and the changes in </w:t>
            </w:r>
            <w:r w:rsidR="0057457C" w:rsidRPr="0057457C">
              <w:rPr>
                <w:rFonts w:ascii="Calibri" w:eastAsia="Times New Roman" w:hAnsi="Calibri" w:cs="Calibri"/>
                <w:sz w:val="18"/>
                <w:szCs w:val="18"/>
                <w:lang w:eastAsia="en-GB"/>
              </w:rPr>
              <w:t>PM</w:t>
            </w:r>
            <w:r w:rsidR="0057457C" w:rsidRPr="0057457C">
              <w:rPr>
                <w:rFonts w:ascii="Calibri" w:eastAsia="Times New Roman" w:hAnsi="Calibri" w:cs="Calibri"/>
                <w:sz w:val="18"/>
                <w:szCs w:val="18"/>
                <w:vertAlign w:val="subscript"/>
                <w:lang w:eastAsia="en-GB"/>
              </w:rPr>
              <w:t>2.5</w:t>
            </w:r>
            <w:r w:rsidRPr="009F44B2">
              <w:rPr>
                <w:rFonts w:ascii="Calibri" w:eastAsia="Times New Roman" w:hAnsi="Calibri" w:cs="Calibri"/>
                <w:sz w:val="18"/>
                <w:szCs w:val="18"/>
                <w:lang w:eastAsia="en-GB"/>
              </w:rPr>
              <w:t xml:space="preserve"> emission corresponds to change by 4.8% of the total </w:t>
            </w:r>
            <w:r w:rsidR="0057457C" w:rsidRPr="0057457C">
              <w:rPr>
                <w:rFonts w:ascii="Calibri" w:eastAsia="Times New Roman" w:hAnsi="Calibri" w:cs="Calibri"/>
                <w:sz w:val="18"/>
                <w:szCs w:val="18"/>
                <w:lang w:eastAsia="en-GB"/>
              </w:rPr>
              <w:t>PM</w:t>
            </w:r>
            <w:r w:rsidR="0057457C" w:rsidRPr="0057457C">
              <w:rPr>
                <w:rFonts w:ascii="Calibri" w:eastAsia="Times New Roman" w:hAnsi="Calibri" w:cs="Calibri"/>
                <w:sz w:val="18"/>
                <w:szCs w:val="18"/>
                <w:vertAlign w:val="subscript"/>
                <w:lang w:eastAsia="en-GB"/>
              </w:rPr>
              <w:t>2.5</w:t>
            </w:r>
            <w:r w:rsidRPr="009F44B2">
              <w:rPr>
                <w:rFonts w:ascii="Calibri" w:eastAsia="Times New Roman" w:hAnsi="Calibri" w:cs="Calibri"/>
                <w:sz w:val="18"/>
                <w:szCs w:val="18"/>
                <w:lang w:eastAsia="en-GB"/>
              </w:rPr>
              <w:t xml:space="preserve"> emission, which is above the threshold. In response to a question raised during the review Austria provided a revised estimate for emission of </w:t>
            </w:r>
            <w:r w:rsidR="0057457C" w:rsidRPr="0057457C">
              <w:rPr>
                <w:rFonts w:ascii="Calibri" w:eastAsia="Times New Roman" w:hAnsi="Calibri" w:cs="Calibri"/>
                <w:sz w:val="18"/>
                <w:szCs w:val="18"/>
                <w:lang w:eastAsia="en-GB"/>
              </w:rPr>
              <w:t>PM</w:t>
            </w:r>
            <w:r w:rsidR="0057457C" w:rsidRPr="0057457C">
              <w:rPr>
                <w:rFonts w:ascii="Calibri" w:eastAsia="Times New Roman" w:hAnsi="Calibri" w:cs="Calibri"/>
                <w:sz w:val="18"/>
                <w:szCs w:val="18"/>
                <w:vertAlign w:val="subscript"/>
                <w:lang w:eastAsia="en-GB"/>
              </w:rPr>
              <w:t>2.5</w:t>
            </w:r>
            <w:r w:rsidRPr="009F44B2">
              <w:rPr>
                <w:rFonts w:ascii="Calibri" w:eastAsia="Times New Roman" w:hAnsi="Calibri" w:cs="Calibri"/>
                <w:sz w:val="18"/>
                <w:szCs w:val="18"/>
                <w:lang w:eastAsia="en-GB"/>
              </w:rPr>
              <w:t xml:space="preserve">, </w:t>
            </w:r>
            <w:r w:rsidR="0057457C" w:rsidRPr="0057457C">
              <w:rPr>
                <w:rFonts w:ascii="Calibri" w:eastAsia="Times New Roman" w:hAnsi="Calibri" w:cs="Calibri"/>
                <w:sz w:val="18"/>
                <w:szCs w:val="18"/>
                <w:lang w:eastAsia="en-GB"/>
              </w:rPr>
              <w:t>PM</w:t>
            </w:r>
            <w:r w:rsidR="0057457C" w:rsidRPr="0057457C">
              <w:rPr>
                <w:rFonts w:ascii="Calibri" w:eastAsia="Times New Roman" w:hAnsi="Calibri" w:cs="Calibri"/>
                <w:sz w:val="18"/>
                <w:szCs w:val="18"/>
                <w:vertAlign w:val="subscript"/>
                <w:lang w:eastAsia="en-GB"/>
              </w:rPr>
              <w:t>10</w:t>
            </w:r>
            <w:r w:rsidRPr="009F44B2">
              <w:rPr>
                <w:rFonts w:ascii="Calibri" w:eastAsia="Times New Roman" w:hAnsi="Calibri" w:cs="Calibri"/>
                <w:sz w:val="18"/>
                <w:szCs w:val="18"/>
                <w:lang w:eastAsia="en-GB"/>
              </w:rPr>
              <w:t xml:space="preserve"> and TSP for years 1990-2015. The TERT agreed with the revised estimate provided by Austria and attached to the annex of the review report. The TERT recommends that Austria include the revised estimate in its next submission</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tcBorders>
              <w:top w:val="single" w:sz="4" w:space="0" w:color="auto"/>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09"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tcBorders>
              <w:top w:val="single" w:sz="4" w:space="0" w:color="auto"/>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09"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val="restart"/>
            <w:tcBorders>
              <w:top w:val="nil"/>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rationale for the corrected estimate:</w:t>
            </w:r>
          </w:p>
        </w:tc>
        <w:tc>
          <w:tcPr>
            <w:tcW w:w="3509"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D47145" w:rsidP="009F44B2">
            <w:pPr>
              <w:spacing w:after="0" w:line="240" w:lineRule="auto"/>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Overestimation</w:t>
            </w:r>
            <w:r w:rsidR="009F44B2" w:rsidRPr="009F44B2">
              <w:rPr>
                <w:rFonts w:ascii="Calibri" w:eastAsia="Times New Roman" w:hAnsi="Calibri" w:cs="Calibri"/>
                <w:sz w:val="18"/>
                <w:szCs w:val="18"/>
                <w:lang w:eastAsia="en-GB"/>
              </w:rPr>
              <w:t xml:space="preserve"> of </w:t>
            </w:r>
            <w:r w:rsidR="0057457C" w:rsidRPr="0057457C">
              <w:rPr>
                <w:rFonts w:ascii="Calibri" w:eastAsia="Times New Roman" w:hAnsi="Calibri" w:cs="Calibri"/>
                <w:sz w:val="18"/>
                <w:szCs w:val="18"/>
                <w:lang w:eastAsia="en-GB"/>
              </w:rPr>
              <w:t>PM</w:t>
            </w:r>
            <w:r w:rsidR="0057457C" w:rsidRPr="0057457C">
              <w:rPr>
                <w:rFonts w:ascii="Calibri" w:eastAsia="Times New Roman" w:hAnsi="Calibri" w:cs="Calibri"/>
                <w:sz w:val="18"/>
                <w:szCs w:val="18"/>
                <w:vertAlign w:val="subscript"/>
                <w:lang w:eastAsia="en-GB"/>
              </w:rPr>
              <w:t>2.5</w:t>
            </w:r>
            <w:r w:rsidR="009F44B2" w:rsidRPr="009F44B2">
              <w:rPr>
                <w:rFonts w:ascii="Calibri" w:eastAsia="Times New Roman" w:hAnsi="Calibri" w:cs="Calibri"/>
                <w:sz w:val="18"/>
                <w:szCs w:val="18"/>
                <w:lang w:eastAsia="en-GB"/>
              </w:rPr>
              <w:t xml:space="preserve"> emission from field </w:t>
            </w:r>
            <w:r w:rsidRPr="009F44B2">
              <w:rPr>
                <w:rFonts w:ascii="Calibri" w:eastAsia="Times New Roman" w:hAnsi="Calibri" w:cs="Calibri"/>
                <w:sz w:val="18"/>
                <w:szCs w:val="18"/>
                <w:lang w:eastAsia="en-GB"/>
              </w:rPr>
              <w:t>operations</w:t>
            </w:r>
            <w:r w:rsidR="009F44B2" w:rsidRPr="009F44B2">
              <w:rPr>
                <w:rFonts w:ascii="Calibri" w:eastAsia="Times New Roman" w:hAnsi="Calibri" w:cs="Calibri"/>
                <w:sz w:val="18"/>
                <w:szCs w:val="18"/>
                <w:lang w:eastAsia="en-GB"/>
              </w:rPr>
              <w:t xml:space="preserve"> (emission allocated in NFR 3Da2a).</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09"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09"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val="restart"/>
            <w:tcBorders>
              <w:top w:val="nil"/>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Summarise the methodology used:</w:t>
            </w:r>
          </w:p>
        </w:tc>
        <w:tc>
          <w:tcPr>
            <w:tcW w:w="3509"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emission factor used in the revised estimat</w:t>
            </w:r>
            <w:r w:rsidR="00D47145">
              <w:rPr>
                <w:rFonts w:ascii="Calibri" w:eastAsia="Times New Roman" w:hAnsi="Calibri" w:cs="Calibri"/>
                <w:color w:val="000000"/>
                <w:sz w:val="18"/>
                <w:szCs w:val="18"/>
                <w:lang w:eastAsia="en-GB"/>
              </w:rPr>
              <w:t>e</w:t>
            </w:r>
            <w:r w:rsidRPr="009F44B2">
              <w:rPr>
                <w:rFonts w:ascii="Calibri" w:eastAsia="Times New Roman" w:hAnsi="Calibri" w:cs="Calibri"/>
                <w:color w:val="000000"/>
                <w:sz w:val="18"/>
                <w:szCs w:val="18"/>
                <w:lang w:eastAsia="en-GB"/>
              </w:rPr>
              <w:t xml:space="preserve"> is based on 2016 EMEP/EEA Guidebook 3D Table 3.1.</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09"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09"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509"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3"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single" w:sz="4" w:space="0" w:color="auto"/>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188"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518"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518"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51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51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51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462"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463"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137"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r>
      <w:tr w:rsidR="009F44B2" w:rsidRPr="009F44B2" w:rsidTr="00E56015">
        <w:trPr>
          <w:trHeight w:val="227"/>
        </w:trPr>
        <w:tc>
          <w:tcPr>
            <w:tcW w:w="166" w:type="pct"/>
            <w:vMerge w:val="restart"/>
            <w:tcBorders>
              <w:top w:val="single" w:sz="4" w:space="0" w:color="auto"/>
              <w:left w:val="single" w:sz="4" w:space="0" w:color="auto"/>
              <w:bottom w:val="single" w:sz="4" w:space="0" w:color="000000"/>
              <w:right w:val="single" w:sz="4" w:space="0" w:color="auto"/>
            </w:tcBorders>
            <w:shd w:val="clear" w:color="000000" w:fill="0070C0"/>
            <w:noWrap/>
            <w:vAlign w:val="center"/>
            <w:hideMark/>
          </w:tcPr>
          <w:p w:rsidR="009F44B2" w:rsidRPr="009F44B2" w:rsidRDefault="009F44B2" w:rsidP="009F44B2">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t>2</w:t>
            </w:r>
          </w:p>
        </w:tc>
        <w:tc>
          <w:tcPr>
            <w:tcW w:w="2224" w:type="pct"/>
            <w:gridSpan w:val="3"/>
            <w:tcBorders>
              <w:top w:val="single" w:sz="4" w:space="0" w:color="auto"/>
              <w:left w:val="single" w:sz="4" w:space="0" w:color="auto"/>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Details of the corrected estimate</w:t>
            </w:r>
          </w:p>
        </w:tc>
        <w:tc>
          <w:tcPr>
            <w:tcW w:w="516"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single" w:sz="4" w:space="0" w:color="auto"/>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528"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Original estimate (kt)</w:t>
            </w:r>
          </w:p>
        </w:tc>
        <w:tc>
          <w:tcPr>
            <w:tcW w:w="46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18"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62"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463"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B12150" w:rsidRPr="009F44B2" w:rsidTr="00B12150">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B12150" w:rsidRPr="009F44B2" w:rsidRDefault="00B12150" w:rsidP="00B12150">
            <w:pPr>
              <w:spacing w:after="0" w:line="240" w:lineRule="auto"/>
              <w:rPr>
                <w:rFonts w:ascii="Calibri" w:eastAsia="Times New Roman" w:hAnsi="Calibri" w:cs="Calibri"/>
                <w:b/>
                <w:bCs/>
                <w:color w:val="FFFFFF"/>
                <w:sz w:val="18"/>
                <w:szCs w:val="18"/>
                <w:lang w:eastAsia="en-GB"/>
              </w:rPr>
            </w:pPr>
          </w:p>
        </w:tc>
        <w:tc>
          <w:tcPr>
            <w:tcW w:w="1188" w:type="pct"/>
            <w:tcBorders>
              <w:top w:val="single" w:sz="4" w:space="0" w:color="auto"/>
              <w:left w:val="nil"/>
              <w:bottom w:val="single" w:sz="4" w:space="0" w:color="auto"/>
              <w:right w:val="single" w:sz="4" w:space="0" w:color="auto"/>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AT-3Da1-2017-0002-OE</w:t>
            </w:r>
          </w:p>
        </w:tc>
        <w:tc>
          <w:tcPr>
            <w:tcW w:w="518" w:type="pct"/>
            <w:tcBorders>
              <w:top w:val="nil"/>
              <w:left w:val="nil"/>
              <w:bottom w:val="single" w:sz="4" w:space="0" w:color="auto"/>
              <w:right w:val="nil"/>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18"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single" w:sz="4" w:space="0" w:color="auto"/>
              <w:right w:val="single" w:sz="4" w:space="0" w:color="auto"/>
            </w:tcBorders>
            <w:shd w:val="clear" w:color="auto" w:fill="auto"/>
            <w:noWrap/>
            <w:vAlign w:val="center"/>
            <w:hideMark/>
          </w:tcPr>
          <w:p w:rsidR="00B12150" w:rsidRPr="00B12150" w:rsidRDefault="00B12150" w:rsidP="00B12150">
            <w:pPr>
              <w:spacing w:after="0" w:line="240" w:lineRule="auto"/>
              <w:jc w:val="right"/>
              <w:rPr>
                <w:rFonts w:ascii="Calibri" w:eastAsia="Times New Roman" w:hAnsi="Calibri" w:cs="Calibri"/>
                <w:color w:val="000000"/>
                <w:sz w:val="18"/>
                <w:szCs w:val="18"/>
                <w:lang w:eastAsia="en-GB"/>
              </w:rPr>
            </w:pPr>
            <w:r w:rsidRPr="00B12150">
              <w:rPr>
                <w:rFonts w:ascii="Calibri" w:hAnsi="Calibri"/>
                <w:color w:val="000000"/>
                <w:sz w:val="18"/>
                <w:szCs w:val="18"/>
              </w:rPr>
              <w:t>1.028</w:t>
            </w:r>
          </w:p>
        </w:tc>
        <w:tc>
          <w:tcPr>
            <w:tcW w:w="463" w:type="pct"/>
            <w:tcBorders>
              <w:top w:val="nil"/>
              <w:left w:val="nil"/>
              <w:bottom w:val="single" w:sz="4" w:space="0" w:color="auto"/>
              <w:right w:val="single" w:sz="8" w:space="0" w:color="auto"/>
            </w:tcBorders>
            <w:shd w:val="clear" w:color="auto" w:fill="auto"/>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B12150" w:rsidRPr="009F44B2" w:rsidTr="00B12150">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B12150" w:rsidRPr="009F44B2" w:rsidRDefault="00B12150" w:rsidP="00B12150">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AT-3Da1-2017-0002-OE</w:t>
            </w:r>
          </w:p>
        </w:tc>
        <w:tc>
          <w:tcPr>
            <w:tcW w:w="518" w:type="pct"/>
            <w:tcBorders>
              <w:top w:val="nil"/>
              <w:left w:val="nil"/>
              <w:bottom w:val="single" w:sz="4" w:space="0" w:color="auto"/>
              <w:right w:val="nil"/>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18"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single" w:sz="4" w:space="0" w:color="auto"/>
              <w:right w:val="single" w:sz="4" w:space="0" w:color="auto"/>
            </w:tcBorders>
            <w:shd w:val="clear" w:color="auto" w:fill="auto"/>
            <w:noWrap/>
            <w:vAlign w:val="center"/>
            <w:hideMark/>
          </w:tcPr>
          <w:p w:rsidR="00B12150" w:rsidRPr="00B12150" w:rsidRDefault="00B12150" w:rsidP="00B12150">
            <w:pPr>
              <w:spacing w:after="0" w:line="240" w:lineRule="auto"/>
              <w:jc w:val="right"/>
              <w:rPr>
                <w:rFonts w:ascii="Calibri" w:eastAsia="Times New Roman" w:hAnsi="Calibri" w:cs="Calibri"/>
                <w:color w:val="000000"/>
                <w:sz w:val="18"/>
                <w:szCs w:val="18"/>
                <w:lang w:eastAsia="en-GB"/>
              </w:rPr>
            </w:pPr>
            <w:r w:rsidRPr="00B12150">
              <w:rPr>
                <w:rFonts w:ascii="Calibri" w:hAnsi="Calibri"/>
                <w:color w:val="000000"/>
                <w:sz w:val="18"/>
                <w:szCs w:val="18"/>
              </w:rPr>
              <w:t>0.988</w:t>
            </w:r>
          </w:p>
        </w:tc>
        <w:tc>
          <w:tcPr>
            <w:tcW w:w="463" w:type="pct"/>
            <w:tcBorders>
              <w:top w:val="nil"/>
              <w:left w:val="nil"/>
              <w:bottom w:val="single" w:sz="4" w:space="0" w:color="auto"/>
              <w:right w:val="single" w:sz="8" w:space="0" w:color="auto"/>
            </w:tcBorders>
            <w:shd w:val="clear" w:color="auto" w:fill="auto"/>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B12150" w:rsidRPr="009F44B2" w:rsidTr="00B12150">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B12150" w:rsidRPr="009F44B2" w:rsidRDefault="00B12150" w:rsidP="00B12150">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AT-3Da1-2017-0002-OE</w:t>
            </w:r>
          </w:p>
        </w:tc>
        <w:tc>
          <w:tcPr>
            <w:tcW w:w="518" w:type="pct"/>
            <w:tcBorders>
              <w:top w:val="nil"/>
              <w:left w:val="nil"/>
              <w:bottom w:val="single" w:sz="4" w:space="0" w:color="auto"/>
              <w:right w:val="nil"/>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18" w:type="pct"/>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8"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8"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nil"/>
              <w:left w:val="nil"/>
              <w:bottom w:val="single" w:sz="8"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single" w:sz="8" w:space="0" w:color="auto"/>
              <w:right w:val="single" w:sz="4" w:space="0" w:color="auto"/>
            </w:tcBorders>
            <w:shd w:val="clear" w:color="auto" w:fill="auto"/>
            <w:noWrap/>
            <w:vAlign w:val="center"/>
            <w:hideMark/>
          </w:tcPr>
          <w:p w:rsidR="00B12150" w:rsidRPr="00B12150" w:rsidRDefault="00B12150" w:rsidP="00B12150">
            <w:pPr>
              <w:spacing w:after="0" w:line="240" w:lineRule="auto"/>
              <w:jc w:val="right"/>
              <w:rPr>
                <w:rFonts w:ascii="Calibri" w:eastAsia="Times New Roman" w:hAnsi="Calibri" w:cs="Calibri"/>
                <w:color w:val="000000"/>
                <w:sz w:val="18"/>
                <w:szCs w:val="18"/>
                <w:lang w:eastAsia="en-GB"/>
              </w:rPr>
            </w:pPr>
            <w:r w:rsidRPr="00B12150">
              <w:rPr>
                <w:rFonts w:ascii="Calibri" w:hAnsi="Calibri"/>
                <w:color w:val="000000"/>
                <w:sz w:val="18"/>
                <w:szCs w:val="18"/>
              </w:rPr>
              <w:t>0.966</w:t>
            </w:r>
          </w:p>
        </w:tc>
        <w:tc>
          <w:tcPr>
            <w:tcW w:w="463" w:type="pct"/>
            <w:tcBorders>
              <w:top w:val="nil"/>
              <w:left w:val="nil"/>
              <w:bottom w:val="single" w:sz="8" w:space="0" w:color="auto"/>
              <w:right w:val="single" w:sz="8" w:space="0" w:color="auto"/>
            </w:tcBorders>
            <w:shd w:val="clear" w:color="auto" w:fill="auto"/>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2224"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a Revised Estimate received from the MS?</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yes</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528"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Revised Estimate received from MS (kt)</w:t>
            </w:r>
          </w:p>
        </w:tc>
        <w:tc>
          <w:tcPr>
            <w:tcW w:w="46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18"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62"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463"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B12150" w:rsidRPr="009F44B2" w:rsidTr="00B12150">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B12150" w:rsidRPr="009F44B2" w:rsidRDefault="00B12150" w:rsidP="00B12150">
            <w:pPr>
              <w:spacing w:after="0" w:line="240" w:lineRule="auto"/>
              <w:rPr>
                <w:rFonts w:ascii="Calibri" w:eastAsia="Times New Roman" w:hAnsi="Calibri" w:cs="Calibri"/>
                <w:b/>
                <w:bCs/>
                <w:color w:val="FFFFFF"/>
                <w:sz w:val="18"/>
                <w:szCs w:val="18"/>
                <w:lang w:eastAsia="en-GB"/>
              </w:rPr>
            </w:pPr>
          </w:p>
        </w:tc>
        <w:tc>
          <w:tcPr>
            <w:tcW w:w="1188" w:type="pct"/>
            <w:tcBorders>
              <w:top w:val="single" w:sz="4" w:space="0" w:color="auto"/>
              <w:left w:val="nil"/>
              <w:bottom w:val="single" w:sz="4" w:space="0" w:color="auto"/>
              <w:right w:val="single" w:sz="4" w:space="0" w:color="auto"/>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AT-3Da1-2017-0002-RE</w:t>
            </w:r>
          </w:p>
        </w:tc>
        <w:tc>
          <w:tcPr>
            <w:tcW w:w="518" w:type="pct"/>
            <w:tcBorders>
              <w:top w:val="nil"/>
              <w:left w:val="nil"/>
              <w:bottom w:val="single" w:sz="4" w:space="0" w:color="auto"/>
              <w:right w:val="nil"/>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18"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single" w:sz="4" w:space="0" w:color="auto"/>
              <w:right w:val="single" w:sz="4" w:space="0" w:color="auto"/>
            </w:tcBorders>
            <w:shd w:val="clear" w:color="auto" w:fill="auto"/>
            <w:noWrap/>
            <w:vAlign w:val="center"/>
            <w:hideMark/>
          </w:tcPr>
          <w:p w:rsidR="00B12150" w:rsidRPr="00B12150" w:rsidRDefault="00B12150" w:rsidP="00B12150">
            <w:pPr>
              <w:spacing w:after="0" w:line="240" w:lineRule="auto"/>
              <w:jc w:val="right"/>
              <w:rPr>
                <w:rFonts w:ascii="Calibri" w:eastAsia="Times New Roman" w:hAnsi="Calibri" w:cs="Calibri"/>
                <w:color w:val="000000"/>
                <w:sz w:val="18"/>
                <w:szCs w:val="18"/>
                <w:lang w:eastAsia="en-GB"/>
              </w:rPr>
            </w:pPr>
            <w:r w:rsidRPr="00B12150">
              <w:rPr>
                <w:rFonts w:ascii="Calibri" w:hAnsi="Calibri"/>
                <w:color w:val="000000"/>
                <w:sz w:val="18"/>
                <w:szCs w:val="18"/>
              </w:rPr>
              <w:t>0.139</w:t>
            </w:r>
          </w:p>
        </w:tc>
        <w:tc>
          <w:tcPr>
            <w:tcW w:w="463" w:type="pct"/>
            <w:tcBorders>
              <w:top w:val="nil"/>
              <w:left w:val="nil"/>
              <w:bottom w:val="single" w:sz="4" w:space="0" w:color="auto"/>
              <w:right w:val="single" w:sz="8" w:space="0" w:color="auto"/>
            </w:tcBorders>
            <w:shd w:val="clear" w:color="auto" w:fill="auto"/>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B12150" w:rsidRPr="009F44B2" w:rsidTr="00B12150">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B12150" w:rsidRPr="009F44B2" w:rsidRDefault="00B12150" w:rsidP="00B12150">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AT-3Da1-2017-0002-RE</w:t>
            </w:r>
          </w:p>
        </w:tc>
        <w:tc>
          <w:tcPr>
            <w:tcW w:w="518" w:type="pct"/>
            <w:tcBorders>
              <w:top w:val="nil"/>
              <w:left w:val="nil"/>
              <w:bottom w:val="single" w:sz="4" w:space="0" w:color="auto"/>
              <w:right w:val="nil"/>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18"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single" w:sz="4" w:space="0" w:color="auto"/>
              <w:right w:val="single" w:sz="4" w:space="0" w:color="auto"/>
            </w:tcBorders>
            <w:shd w:val="clear" w:color="auto" w:fill="auto"/>
            <w:noWrap/>
            <w:vAlign w:val="center"/>
            <w:hideMark/>
          </w:tcPr>
          <w:p w:rsidR="00B12150" w:rsidRPr="00B12150" w:rsidRDefault="00B12150" w:rsidP="00B12150">
            <w:pPr>
              <w:spacing w:after="0" w:line="240" w:lineRule="auto"/>
              <w:jc w:val="right"/>
              <w:rPr>
                <w:rFonts w:ascii="Calibri" w:eastAsia="Times New Roman" w:hAnsi="Calibri" w:cs="Calibri"/>
                <w:color w:val="000000"/>
                <w:sz w:val="18"/>
                <w:szCs w:val="18"/>
                <w:lang w:eastAsia="en-GB"/>
              </w:rPr>
            </w:pPr>
            <w:r w:rsidRPr="00B12150">
              <w:rPr>
                <w:rFonts w:ascii="Calibri" w:hAnsi="Calibri"/>
                <w:color w:val="000000"/>
                <w:sz w:val="18"/>
                <w:szCs w:val="18"/>
              </w:rPr>
              <w:t>0.133</w:t>
            </w:r>
          </w:p>
        </w:tc>
        <w:tc>
          <w:tcPr>
            <w:tcW w:w="463" w:type="pct"/>
            <w:tcBorders>
              <w:top w:val="nil"/>
              <w:left w:val="nil"/>
              <w:bottom w:val="single" w:sz="4" w:space="0" w:color="auto"/>
              <w:right w:val="single" w:sz="8" w:space="0" w:color="auto"/>
            </w:tcBorders>
            <w:shd w:val="clear" w:color="auto" w:fill="auto"/>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B12150" w:rsidRPr="009F44B2" w:rsidTr="00B12150">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B12150" w:rsidRPr="009F44B2" w:rsidRDefault="00B12150" w:rsidP="00B12150">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AT-3Da1-2017-0002-RE</w:t>
            </w:r>
          </w:p>
        </w:tc>
        <w:tc>
          <w:tcPr>
            <w:tcW w:w="518" w:type="pct"/>
            <w:tcBorders>
              <w:top w:val="nil"/>
              <w:left w:val="nil"/>
              <w:bottom w:val="single" w:sz="4" w:space="0" w:color="auto"/>
              <w:right w:val="nil"/>
            </w:tcBorders>
            <w:shd w:val="clear" w:color="000000" w:fill="00B0F0"/>
            <w:noWrap/>
            <w:vAlign w:val="center"/>
            <w:hideMark/>
          </w:tcPr>
          <w:p w:rsidR="00B12150" w:rsidRPr="009F44B2" w:rsidRDefault="00B12150" w:rsidP="00B12150">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18"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nil"/>
              <w:left w:val="nil"/>
              <w:bottom w:val="single" w:sz="8" w:space="0" w:color="auto"/>
              <w:right w:val="single" w:sz="4" w:space="0" w:color="auto"/>
            </w:tcBorders>
            <w:shd w:val="clear" w:color="auto" w:fill="auto"/>
            <w:noWrap/>
            <w:vAlign w:val="center"/>
            <w:hideMark/>
          </w:tcPr>
          <w:p w:rsidR="00B12150" w:rsidRPr="00B12150" w:rsidRDefault="00B12150" w:rsidP="00B12150">
            <w:pPr>
              <w:spacing w:after="0" w:line="240" w:lineRule="auto"/>
              <w:jc w:val="right"/>
              <w:rPr>
                <w:rFonts w:ascii="Calibri" w:eastAsia="Times New Roman" w:hAnsi="Calibri" w:cs="Calibri"/>
                <w:color w:val="000000"/>
                <w:sz w:val="18"/>
                <w:szCs w:val="18"/>
                <w:lang w:eastAsia="en-GB"/>
              </w:rPr>
            </w:pPr>
            <w:r w:rsidRPr="00B12150">
              <w:rPr>
                <w:rFonts w:ascii="Calibri" w:hAnsi="Calibri"/>
                <w:color w:val="000000"/>
                <w:sz w:val="18"/>
                <w:szCs w:val="18"/>
              </w:rPr>
              <w:t>0.130</w:t>
            </w:r>
          </w:p>
        </w:tc>
        <w:tc>
          <w:tcPr>
            <w:tcW w:w="463" w:type="pct"/>
            <w:tcBorders>
              <w:top w:val="nil"/>
              <w:left w:val="nil"/>
              <w:bottom w:val="single" w:sz="8" w:space="0" w:color="auto"/>
              <w:right w:val="single" w:sz="8" w:space="0" w:color="auto"/>
            </w:tcBorders>
            <w:shd w:val="clear" w:color="auto" w:fill="auto"/>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B12150" w:rsidRPr="009F44B2" w:rsidRDefault="00B12150" w:rsidP="00B12150">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2224"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Revised Estimate accepted by the TERT?</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yes</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2528"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Technical Correction calculated by TERT (kt)</w:t>
            </w:r>
          </w:p>
        </w:tc>
        <w:tc>
          <w:tcPr>
            <w:tcW w:w="463"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8"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518"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51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462"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463"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single" w:sz="4" w:space="0" w:color="auto"/>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AT-3Da1-2017-0002-TC</w:t>
            </w:r>
          </w:p>
        </w:tc>
        <w:tc>
          <w:tcPr>
            <w:tcW w:w="518"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518"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3" w:type="pct"/>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AT-3Da1-2017-0002-TC</w:t>
            </w:r>
          </w:p>
        </w:tc>
        <w:tc>
          <w:tcPr>
            <w:tcW w:w="518"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518"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3" w:type="pct"/>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AT-3Da1-2017-0002-TC</w:t>
            </w:r>
          </w:p>
        </w:tc>
        <w:tc>
          <w:tcPr>
            <w:tcW w:w="518"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518" w:type="pct"/>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51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2"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63" w:type="pct"/>
            <w:tcBorders>
              <w:top w:val="single" w:sz="4" w:space="0" w:color="auto"/>
              <w:left w:val="single" w:sz="4" w:space="0" w:color="auto"/>
              <w:bottom w:val="single" w:sz="8"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2224"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Technical Correction accepted by the MS?</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E56015">
        <w:trPr>
          <w:trHeight w:val="227"/>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188"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8"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51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2"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63"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7" w:type="pct"/>
            <w:tcBorders>
              <w:top w:val="nil"/>
              <w:left w:val="nil"/>
              <w:bottom w:val="single" w:sz="4" w:space="0" w:color="auto"/>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bl>
    <w:p w:rsidR="009F44B2" w:rsidRDefault="009F44B2" w:rsidP="001553E9"/>
    <w:p w:rsidR="004C4E9B" w:rsidRDefault="004C4E9B">
      <w:pPr>
        <w:rPr>
          <w:highlight w:val="yellow"/>
        </w:rPr>
      </w:pPr>
      <w:r>
        <w:rPr>
          <w:highlight w:val="yellow"/>
        </w:rPr>
        <w:br w:type="page"/>
      </w:r>
    </w:p>
    <w:tbl>
      <w:tblPr>
        <w:tblW w:w="5000" w:type="pct"/>
        <w:tblLayout w:type="fixed"/>
        <w:tblLook w:val="04A0" w:firstRow="1" w:lastRow="0" w:firstColumn="1" w:lastColumn="0" w:noHBand="0" w:noVBand="1"/>
      </w:tblPr>
      <w:tblGrid>
        <w:gridCol w:w="293"/>
        <w:gridCol w:w="1938"/>
        <w:gridCol w:w="649"/>
        <w:gridCol w:w="651"/>
        <w:gridCol w:w="645"/>
        <w:gridCol w:w="905"/>
        <w:gridCol w:w="726"/>
        <w:gridCol w:w="726"/>
        <w:gridCol w:w="2627"/>
        <w:gridCol w:w="248"/>
      </w:tblGrid>
      <w:tr w:rsidR="009F44B2" w:rsidRPr="009F44B2" w:rsidTr="009F44B2">
        <w:trPr>
          <w:trHeight w:val="170"/>
        </w:trPr>
        <w:tc>
          <w:tcPr>
            <w:tcW w:w="155" w:type="pct"/>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9F44B2" w:rsidRPr="009F44B2" w:rsidRDefault="009F44B2" w:rsidP="009F44B2">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lastRenderedPageBreak/>
              <w:t>1</w:t>
            </w:r>
          </w:p>
        </w:tc>
        <w:tc>
          <w:tcPr>
            <w:tcW w:w="1030"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96" w:type="pct"/>
            <w:tcBorders>
              <w:top w:val="single" w:sz="4" w:space="0" w:color="auto"/>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single" w:sz="4" w:space="0" w:color="auto"/>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single" w:sz="4" w:space="0" w:color="auto"/>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ID:</w:t>
            </w:r>
          </w:p>
        </w:tc>
        <w:tc>
          <w:tcPr>
            <w:tcW w:w="2287" w:type="pct"/>
            <w:gridSpan w:val="6"/>
            <w:tcBorders>
              <w:top w:val="single" w:sz="4" w:space="0" w:color="auto"/>
              <w:left w:val="nil"/>
              <w:bottom w:val="single" w:sz="4" w:space="0" w:color="auto"/>
              <w:right w:val="single" w:sz="4" w:space="0" w:color="auto"/>
            </w:tcBorders>
            <w:shd w:val="clear" w:color="auto" w:fill="auto"/>
            <w:vAlign w:val="center"/>
            <w:hideMark/>
          </w:tcPr>
          <w:p w:rsidR="009F44B2" w:rsidRPr="009F44B2" w:rsidRDefault="009F44B2" w:rsidP="009F44B2">
            <w:pPr>
              <w:spacing w:after="0" w:line="240" w:lineRule="auto"/>
              <w:rPr>
                <w:rFonts w:ascii="Calibri" w:eastAsia="Times New Roman" w:hAnsi="Calibri" w:cs="Calibri"/>
                <w:b/>
                <w:bCs/>
                <w:sz w:val="18"/>
                <w:szCs w:val="18"/>
                <w:lang w:eastAsia="en-GB"/>
              </w:rPr>
            </w:pPr>
            <w:r w:rsidRPr="009F44B2">
              <w:rPr>
                <w:rFonts w:ascii="Calibri" w:eastAsia="Times New Roman" w:hAnsi="Calibri" w:cs="Calibri"/>
                <w:b/>
                <w:bCs/>
                <w:sz w:val="18"/>
                <w:szCs w:val="18"/>
                <w:lang w:eastAsia="en-GB"/>
              </w:rPr>
              <w:t xml:space="preserve">AT-5E-2017-0001 </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EMRT URL:</w:t>
            </w:r>
          </w:p>
        </w:tc>
        <w:tc>
          <w:tcPr>
            <w:tcW w:w="2287"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BC6C77" w:rsidP="009F44B2">
            <w:pPr>
              <w:spacing w:after="0" w:line="240" w:lineRule="auto"/>
              <w:rPr>
                <w:rFonts w:ascii="Calibri" w:eastAsia="Times New Roman" w:hAnsi="Calibri" w:cs="Calibri"/>
                <w:color w:val="0563C1"/>
                <w:sz w:val="18"/>
                <w:szCs w:val="18"/>
                <w:u w:val="single"/>
                <w:lang w:eastAsia="en-GB"/>
              </w:rPr>
            </w:pPr>
            <w:hyperlink r:id="rId15" w:history="1">
              <w:r w:rsidR="009F44B2" w:rsidRPr="009F44B2">
                <w:rPr>
                  <w:rFonts w:ascii="Calibri" w:eastAsia="Times New Roman" w:hAnsi="Calibri" w:cs="Calibri"/>
                  <w:color w:val="0563C1"/>
                  <w:sz w:val="18"/>
                  <w:szCs w:val="18"/>
                  <w:u w:val="single"/>
                  <w:lang w:eastAsia="en-GB"/>
                </w:rPr>
                <w:t>https://emrt-necd.eionet.europa.eu/2017/AT-5E-2017-0001</w:t>
              </w:r>
            </w:hyperlink>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Member State:</w:t>
            </w:r>
          </w:p>
        </w:tc>
        <w:tc>
          <w:tcPr>
            <w:tcW w:w="2287"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Austria</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Sector:</w:t>
            </w:r>
          </w:p>
        </w:tc>
        <w:tc>
          <w:tcPr>
            <w:tcW w:w="2287"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5E Other waste - car and building fires</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Pollutant</w:t>
            </w:r>
          </w:p>
        </w:tc>
        <w:tc>
          <w:tcPr>
            <w:tcW w:w="2287" w:type="pct"/>
            <w:gridSpan w:val="6"/>
            <w:tcBorders>
              <w:top w:val="single" w:sz="4" w:space="0" w:color="auto"/>
              <w:left w:val="nil"/>
              <w:bottom w:val="single" w:sz="4" w:space="0" w:color="auto"/>
              <w:right w:val="single" w:sz="4" w:space="0" w:color="auto"/>
            </w:tcBorders>
            <w:shd w:val="clear" w:color="auto" w:fill="auto"/>
            <w:noWrap/>
            <w:vAlign w:val="center"/>
            <w:hideMark/>
          </w:tcPr>
          <w:p w:rsidR="009F44B2" w:rsidRPr="009F44B2" w:rsidRDefault="0057457C" w:rsidP="009F44B2">
            <w:pPr>
              <w:spacing w:after="0" w:line="240" w:lineRule="auto"/>
              <w:rPr>
                <w:rFonts w:ascii="Calibri" w:eastAsia="Times New Roman" w:hAnsi="Calibri" w:cs="Calibri"/>
                <w:sz w:val="18"/>
                <w:szCs w:val="18"/>
                <w:lang w:eastAsia="en-GB"/>
              </w:rPr>
            </w:pPr>
            <w:r w:rsidRPr="0057457C">
              <w:rPr>
                <w:rFonts w:ascii="Calibri" w:eastAsia="Times New Roman" w:hAnsi="Calibri" w:cs="Calibri"/>
                <w:sz w:val="18"/>
                <w:szCs w:val="18"/>
                <w:lang w:eastAsia="en-GB"/>
              </w:rPr>
              <w:t>PM</w:t>
            </w:r>
            <w:r w:rsidRPr="0057457C">
              <w:rPr>
                <w:rFonts w:ascii="Calibri" w:eastAsia="Times New Roman" w:hAnsi="Calibri" w:cs="Calibri"/>
                <w:sz w:val="18"/>
                <w:szCs w:val="18"/>
                <w:vertAlign w:val="subscript"/>
                <w:lang w:eastAsia="en-GB"/>
              </w:rPr>
              <w:t>2.5</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single" w:sz="4" w:space="0" w:color="auto"/>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Completed by (SE): </w:t>
            </w:r>
          </w:p>
        </w:tc>
        <w:tc>
          <w:tcPr>
            <w:tcW w:w="2287"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Celine Guenguen</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(LR): </w:t>
            </w:r>
          </w:p>
        </w:tc>
        <w:tc>
          <w:tcPr>
            <w:tcW w:w="2287"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Justin Goodwin</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xml:space="preserve">Reviewed by (Counterpart): </w:t>
            </w:r>
          </w:p>
        </w:tc>
        <w:tc>
          <w:tcPr>
            <w:tcW w:w="2287"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Intars Cakars</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34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34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481"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jc w:val="center"/>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val="restart"/>
            <w:tcBorders>
              <w:top w:val="single" w:sz="4" w:space="0" w:color="auto"/>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underlying problem:</w:t>
            </w:r>
          </w:p>
        </w:tc>
        <w:tc>
          <w:tcPr>
            <w:tcW w:w="3683"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9F44B2" w:rsidP="009F44B2">
            <w:pPr>
              <w:spacing w:after="0" w:line="240" w:lineRule="auto"/>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xml:space="preserve"> The notation key "NO" is reported in the NFR tables but the TERT considers it is unlikely as it </w:t>
            </w:r>
            <w:r w:rsidR="006F6ABD" w:rsidRPr="009F44B2">
              <w:rPr>
                <w:rFonts w:ascii="Calibri" w:eastAsia="Times New Roman" w:hAnsi="Calibri" w:cs="Calibri"/>
                <w:sz w:val="18"/>
                <w:szCs w:val="18"/>
                <w:lang w:eastAsia="en-GB"/>
              </w:rPr>
              <w:t>includes accidental</w:t>
            </w:r>
            <w:r w:rsidRPr="009F44B2">
              <w:rPr>
                <w:rFonts w:ascii="Calibri" w:eastAsia="Times New Roman" w:hAnsi="Calibri" w:cs="Calibri"/>
                <w:sz w:val="18"/>
                <w:szCs w:val="18"/>
                <w:lang w:eastAsia="en-GB"/>
              </w:rPr>
              <w:t xml:space="preserve"> car and house fires</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tcBorders>
              <w:top w:val="single" w:sz="4" w:space="0" w:color="auto"/>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683"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tcBorders>
              <w:top w:val="single" w:sz="4" w:space="0" w:color="auto"/>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683"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val="restart"/>
            <w:tcBorders>
              <w:top w:val="nil"/>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The rationale for the corrected estimate:</w:t>
            </w:r>
          </w:p>
        </w:tc>
        <w:tc>
          <w:tcPr>
            <w:tcW w:w="3683"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9F44B2" w:rsidP="009F44B2">
            <w:pPr>
              <w:spacing w:after="0" w:line="240" w:lineRule="auto"/>
              <w:rPr>
                <w:rFonts w:ascii="Calibri" w:eastAsia="Times New Roman" w:hAnsi="Calibri" w:cs="Calibri"/>
                <w:sz w:val="18"/>
                <w:szCs w:val="18"/>
                <w:lang w:eastAsia="en-GB"/>
              </w:rPr>
            </w:pPr>
            <w:r w:rsidRPr="009F44B2">
              <w:rPr>
                <w:rFonts w:ascii="Calibri" w:eastAsia="Times New Roman" w:hAnsi="Calibri" w:cs="Calibri"/>
                <w:sz w:val="18"/>
                <w:szCs w:val="18"/>
                <w:lang w:eastAsia="en-GB"/>
              </w:rPr>
              <w:t xml:space="preserve">There is an underestimation because of </w:t>
            </w:r>
            <w:r w:rsidR="006F6ABD" w:rsidRPr="009F44B2">
              <w:rPr>
                <w:rFonts w:ascii="Calibri" w:eastAsia="Times New Roman" w:hAnsi="Calibri" w:cs="Calibri"/>
                <w:sz w:val="18"/>
                <w:szCs w:val="18"/>
                <w:lang w:eastAsia="en-GB"/>
              </w:rPr>
              <w:t>a</w:t>
            </w:r>
            <w:r w:rsidRPr="009F44B2">
              <w:rPr>
                <w:rFonts w:ascii="Calibri" w:eastAsia="Times New Roman" w:hAnsi="Calibri" w:cs="Calibri"/>
                <w:sz w:val="18"/>
                <w:szCs w:val="18"/>
                <w:lang w:eastAsia="en-GB"/>
              </w:rPr>
              <w:t xml:space="preserve"> </w:t>
            </w:r>
            <w:r w:rsidR="007C4027" w:rsidRPr="009F44B2">
              <w:rPr>
                <w:rFonts w:ascii="Calibri" w:eastAsia="Times New Roman" w:hAnsi="Calibri" w:cs="Calibri"/>
                <w:sz w:val="18"/>
                <w:szCs w:val="18"/>
                <w:lang w:eastAsia="en-GB"/>
              </w:rPr>
              <w:t>non-estimation</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683"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683"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val="restart"/>
            <w:tcBorders>
              <w:top w:val="nil"/>
              <w:left w:val="nil"/>
              <w:bottom w:val="single" w:sz="4" w:space="0" w:color="000000"/>
              <w:right w:val="single" w:sz="4" w:space="0" w:color="auto"/>
            </w:tcBorders>
            <w:shd w:val="clear" w:color="000000" w:fill="00B0F0"/>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Summarise the methodology used:</w:t>
            </w:r>
          </w:p>
        </w:tc>
        <w:tc>
          <w:tcPr>
            <w:tcW w:w="3683"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Use of the tier 2 methodology proposed in the 2016 EMEP/EEA G</w:t>
            </w:r>
            <w:r w:rsidR="007C4027">
              <w:rPr>
                <w:rFonts w:ascii="Calibri" w:eastAsia="Times New Roman" w:hAnsi="Calibri" w:cs="Calibri"/>
                <w:color w:val="000000"/>
                <w:sz w:val="18"/>
                <w:szCs w:val="18"/>
                <w:lang w:eastAsia="en-GB"/>
              </w:rPr>
              <w:t>uidebook</w:t>
            </w:r>
            <w:r w:rsidR="00503626">
              <w:rPr>
                <w:rFonts w:ascii="Calibri" w:eastAsia="Times New Roman" w:hAnsi="Calibri" w:cs="Calibri"/>
                <w:color w:val="000000"/>
                <w:sz w:val="18"/>
                <w:szCs w:val="18"/>
                <w:lang w:eastAsia="en-GB"/>
              </w:rPr>
              <w:t>:</w:t>
            </w:r>
            <w:r w:rsidR="00503626">
              <w:rPr>
                <w:rFonts w:ascii="Calibri" w:eastAsia="Times New Roman" w:hAnsi="Calibri" w:cs="Calibri"/>
                <w:color w:val="000000"/>
                <w:sz w:val="18"/>
                <w:szCs w:val="18"/>
                <w:lang w:eastAsia="en-GB"/>
              </w:rPr>
              <w:br/>
              <w:t>- AD</w:t>
            </w:r>
            <w:r w:rsidRPr="009F44B2">
              <w:rPr>
                <w:rFonts w:ascii="Calibri" w:eastAsia="Times New Roman" w:hAnsi="Calibri" w:cs="Calibri"/>
                <w:color w:val="000000"/>
                <w:sz w:val="18"/>
                <w:szCs w:val="18"/>
                <w:lang w:eastAsia="en-GB"/>
              </w:rPr>
              <w:t xml:space="preserve">:  number of fire based </w:t>
            </w:r>
            <w:r w:rsidR="00C90CB4" w:rsidRPr="009F44B2">
              <w:rPr>
                <w:rFonts w:ascii="Calibri" w:eastAsia="Times New Roman" w:hAnsi="Calibri" w:cs="Calibri"/>
                <w:color w:val="000000"/>
                <w:sz w:val="18"/>
                <w:szCs w:val="18"/>
                <w:lang w:eastAsia="en-GB"/>
              </w:rPr>
              <w:t>on national</w:t>
            </w:r>
            <w:r w:rsidRPr="009F44B2">
              <w:rPr>
                <w:rFonts w:ascii="Calibri" w:eastAsia="Times New Roman" w:hAnsi="Calibri" w:cs="Calibri"/>
                <w:color w:val="000000"/>
                <w:sz w:val="18"/>
                <w:szCs w:val="18"/>
                <w:lang w:eastAsia="en-GB"/>
              </w:rPr>
              <w:t xml:space="preserve"> data</w:t>
            </w:r>
            <w:r w:rsidRPr="009F44B2">
              <w:rPr>
                <w:rFonts w:ascii="Calibri" w:eastAsia="Times New Roman" w:hAnsi="Calibri" w:cs="Calibri"/>
                <w:color w:val="000000"/>
                <w:sz w:val="18"/>
                <w:szCs w:val="18"/>
                <w:lang w:eastAsia="en-GB"/>
              </w:rPr>
              <w:br/>
              <w:t>- Additional parameter : split between type of building based on national data</w:t>
            </w:r>
            <w:r w:rsidRPr="009F44B2">
              <w:rPr>
                <w:rFonts w:ascii="Calibri" w:eastAsia="Times New Roman" w:hAnsi="Calibri" w:cs="Calibri"/>
                <w:color w:val="000000"/>
                <w:sz w:val="18"/>
                <w:szCs w:val="18"/>
                <w:lang w:eastAsia="en-GB"/>
              </w:rPr>
              <w:br/>
              <w:t xml:space="preserve">- EF : Tier 1 default EF (table 3-2 for cars and tables 3-4 and 3-6 for </w:t>
            </w:r>
            <w:r w:rsidR="00C90CB4" w:rsidRPr="009F44B2">
              <w:rPr>
                <w:rFonts w:ascii="Calibri" w:eastAsia="Times New Roman" w:hAnsi="Calibri" w:cs="Calibri"/>
                <w:color w:val="000000"/>
                <w:sz w:val="18"/>
                <w:szCs w:val="18"/>
                <w:lang w:eastAsia="en-GB"/>
              </w:rPr>
              <w:t>buildings from</w:t>
            </w:r>
            <w:r w:rsidRPr="009F44B2">
              <w:rPr>
                <w:rFonts w:ascii="Calibri" w:eastAsia="Times New Roman" w:hAnsi="Calibri" w:cs="Calibri"/>
                <w:color w:val="000000"/>
                <w:sz w:val="18"/>
                <w:szCs w:val="18"/>
                <w:lang w:eastAsia="en-GB"/>
              </w:rPr>
              <w:t xml:space="preserve"> chapter 5E Other waste)</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683"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683"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vMerge/>
            <w:tcBorders>
              <w:top w:val="nil"/>
              <w:left w:val="nil"/>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3683" w:type="pct"/>
            <w:gridSpan w:val="7"/>
            <w:vMerge/>
            <w:tcBorders>
              <w:top w:val="single" w:sz="4" w:space="0" w:color="auto"/>
              <w:left w:val="single" w:sz="4" w:space="0" w:color="auto"/>
              <w:bottom w:val="single" w:sz="4" w:space="0" w:color="000000"/>
              <w:right w:val="single" w:sz="4" w:space="0" w:color="000000"/>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9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single" w:sz="4" w:space="0" w:color="auto"/>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030"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345"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34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343"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481"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38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38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1396"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c>
          <w:tcPr>
            <w:tcW w:w="133" w:type="pct"/>
            <w:tcBorders>
              <w:top w:val="nil"/>
              <w:left w:val="nil"/>
              <w:bottom w:val="nil"/>
              <w:right w:val="nil"/>
            </w:tcBorders>
            <w:shd w:val="clear" w:color="auto" w:fill="auto"/>
            <w:noWrap/>
            <w:vAlign w:val="center"/>
            <w:hideMark/>
          </w:tcPr>
          <w:p w:rsidR="009F44B2" w:rsidRPr="009F44B2" w:rsidRDefault="009F44B2" w:rsidP="009F44B2">
            <w:pPr>
              <w:spacing w:after="0" w:line="240" w:lineRule="auto"/>
              <w:rPr>
                <w:rFonts w:ascii="Times New Roman" w:eastAsia="Times New Roman" w:hAnsi="Times New Roman" w:cs="Times New Roman"/>
                <w:sz w:val="18"/>
                <w:szCs w:val="18"/>
                <w:lang w:eastAsia="en-GB"/>
              </w:rPr>
            </w:pPr>
          </w:p>
        </w:tc>
      </w:tr>
      <w:tr w:rsidR="009F44B2" w:rsidRPr="009F44B2" w:rsidTr="009F44B2">
        <w:trPr>
          <w:trHeight w:val="170"/>
        </w:trPr>
        <w:tc>
          <w:tcPr>
            <w:tcW w:w="155" w:type="pct"/>
            <w:vMerge w:val="restart"/>
            <w:tcBorders>
              <w:top w:val="single" w:sz="4" w:space="0" w:color="auto"/>
              <w:left w:val="single" w:sz="4" w:space="0" w:color="auto"/>
              <w:bottom w:val="single" w:sz="4" w:space="0" w:color="000000"/>
              <w:right w:val="single" w:sz="4" w:space="0" w:color="auto"/>
            </w:tcBorders>
            <w:shd w:val="clear" w:color="000000" w:fill="0070C0"/>
            <w:noWrap/>
            <w:vAlign w:val="center"/>
            <w:hideMark/>
          </w:tcPr>
          <w:p w:rsidR="009F44B2" w:rsidRPr="009F44B2" w:rsidRDefault="009F44B2" w:rsidP="009F44B2">
            <w:pPr>
              <w:spacing w:after="0" w:line="240" w:lineRule="auto"/>
              <w:jc w:val="center"/>
              <w:rPr>
                <w:rFonts w:ascii="Calibri" w:eastAsia="Times New Roman" w:hAnsi="Calibri" w:cs="Calibri"/>
                <w:b/>
                <w:bCs/>
                <w:color w:val="FFFFFF"/>
                <w:sz w:val="18"/>
                <w:szCs w:val="18"/>
                <w:lang w:eastAsia="en-GB"/>
              </w:rPr>
            </w:pPr>
            <w:r w:rsidRPr="009F44B2">
              <w:rPr>
                <w:rFonts w:ascii="Calibri" w:eastAsia="Times New Roman" w:hAnsi="Calibri" w:cs="Calibri"/>
                <w:b/>
                <w:bCs/>
                <w:color w:val="FFFFFF"/>
                <w:sz w:val="18"/>
                <w:szCs w:val="18"/>
                <w:lang w:eastAsia="en-GB"/>
              </w:rPr>
              <w:t>2</w:t>
            </w:r>
          </w:p>
        </w:tc>
        <w:tc>
          <w:tcPr>
            <w:tcW w:w="1721" w:type="pct"/>
            <w:gridSpan w:val="3"/>
            <w:tcBorders>
              <w:top w:val="single" w:sz="4" w:space="0" w:color="auto"/>
              <w:left w:val="single" w:sz="4" w:space="0" w:color="auto"/>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Details of the corrected estimate</w:t>
            </w:r>
          </w:p>
        </w:tc>
        <w:tc>
          <w:tcPr>
            <w:tcW w:w="343"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single" w:sz="4" w:space="0" w:color="auto"/>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single" w:sz="4" w:space="0" w:color="auto"/>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96"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941"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Original estimate (kt)</w:t>
            </w:r>
          </w:p>
        </w:tc>
        <w:tc>
          <w:tcPr>
            <w:tcW w:w="1396"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346"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43"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81"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1396"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single" w:sz="4" w:space="0" w:color="auto"/>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AT-5E-2017-0001 -OE</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0.000</w:t>
            </w:r>
          </w:p>
        </w:tc>
        <w:tc>
          <w:tcPr>
            <w:tcW w:w="1396"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emissions from car and building fires not reported</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AT-5E-2017-0001 -OE</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0.000</w:t>
            </w:r>
          </w:p>
        </w:tc>
        <w:tc>
          <w:tcPr>
            <w:tcW w:w="1396"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emissions from car and building fires not reported</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AT-5E-2017-0001 -OE</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0.000</w:t>
            </w:r>
          </w:p>
        </w:tc>
        <w:tc>
          <w:tcPr>
            <w:tcW w:w="1396" w:type="pct"/>
            <w:tcBorders>
              <w:top w:val="nil"/>
              <w:left w:val="nil"/>
              <w:bottom w:val="single" w:sz="8"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emissions from car and building fires not reported</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721"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a Revised Estimate received from the MS?</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yes</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941"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Revised Estimate received from MS (kt)</w:t>
            </w:r>
          </w:p>
        </w:tc>
        <w:tc>
          <w:tcPr>
            <w:tcW w:w="1396"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346"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43"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81"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1396"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single" w:sz="4" w:space="0" w:color="auto"/>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AT-5E-2017-0001 -RE</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346"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0.183</w:t>
            </w:r>
          </w:p>
        </w:tc>
        <w:tc>
          <w:tcPr>
            <w:tcW w:w="1396"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AT-5E-2017-0001 -RE</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346"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4"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0.272</w:t>
            </w:r>
          </w:p>
        </w:tc>
        <w:tc>
          <w:tcPr>
            <w:tcW w:w="1396" w:type="pct"/>
            <w:tcBorders>
              <w:top w:val="nil"/>
              <w:left w:val="nil"/>
              <w:bottom w:val="single" w:sz="4"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AT-5E-2017-0001 -RE</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346" w:type="pct"/>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nil"/>
              <w:left w:val="nil"/>
              <w:bottom w:val="single" w:sz="8" w:space="0" w:color="auto"/>
              <w:right w:val="single" w:sz="4" w:space="0" w:color="auto"/>
            </w:tcBorders>
            <w:shd w:val="clear" w:color="auto" w:fill="auto"/>
            <w:noWrap/>
            <w:vAlign w:val="center"/>
            <w:hideMark/>
          </w:tcPr>
          <w:p w:rsidR="009F44B2" w:rsidRPr="009F44B2" w:rsidRDefault="009F44B2" w:rsidP="009F44B2">
            <w:pPr>
              <w:spacing w:after="0" w:line="240" w:lineRule="auto"/>
              <w:jc w:val="right"/>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0.251</w:t>
            </w:r>
          </w:p>
        </w:tc>
        <w:tc>
          <w:tcPr>
            <w:tcW w:w="1396" w:type="pct"/>
            <w:tcBorders>
              <w:top w:val="nil"/>
              <w:left w:val="nil"/>
              <w:bottom w:val="single" w:sz="8" w:space="0" w:color="auto"/>
              <w:right w:val="single" w:sz="8" w:space="0" w:color="auto"/>
            </w:tcBorders>
            <w:shd w:val="clear" w:color="auto" w:fill="auto"/>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721"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Revised Estimate accepted by the TERT?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yes</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941" w:type="pct"/>
            <w:gridSpan w:val="5"/>
            <w:tcBorders>
              <w:top w:val="single" w:sz="8" w:space="0" w:color="auto"/>
              <w:left w:val="single" w:sz="8" w:space="0" w:color="auto"/>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Technical Correction calculated by TERT (kt)</w:t>
            </w:r>
          </w:p>
        </w:tc>
        <w:tc>
          <w:tcPr>
            <w:tcW w:w="1396" w:type="pct"/>
            <w:vMerge w:val="restart"/>
            <w:tcBorders>
              <w:top w:val="single" w:sz="8" w:space="0" w:color="auto"/>
              <w:left w:val="single" w:sz="4" w:space="0" w:color="auto"/>
              <w:bottom w:val="single" w:sz="4" w:space="0" w:color="auto"/>
              <w:right w:val="single" w:sz="8"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Notes</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5" w:type="pct"/>
            <w:tcBorders>
              <w:top w:val="single" w:sz="4" w:space="0" w:color="auto"/>
              <w:left w:val="single" w:sz="4" w:space="0" w:color="auto"/>
              <w:bottom w:val="single" w:sz="4" w:space="0" w:color="auto"/>
              <w:right w:val="nil"/>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Year</w:t>
            </w:r>
          </w:p>
        </w:tc>
        <w:tc>
          <w:tcPr>
            <w:tcW w:w="346" w:type="pct"/>
            <w:tcBorders>
              <w:top w:val="nil"/>
              <w:left w:val="single" w:sz="8" w:space="0" w:color="auto"/>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NO</w:t>
            </w:r>
            <w:r w:rsidRPr="0057457C">
              <w:rPr>
                <w:rFonts w:ascii="Calibri" w:eastAsia="Times New Roman" w:hAnsi="Calibri" w:cs="Calibri"/>
                <w:color w:val="000000"/>
                <w:sz w:val="18"/>
                <w:szCs w:val="18"/>
                <w:vertAlign w:val="subscript"/>
                <w:lang w:eastAsia="en-GB"/>
              </w:rPr>
              <w:t>X</w:t>
            </w:r>
          </w:p>
        </w:tc>
        <w:tc>
          <w:tcPr>
            <w:tcW w:w="343"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SO</w:t>
            </w:r>
            <w:r w:rsidRPr="0057457C">
              <w:rPr>
                <w:rFonts w:ascii="Calibri" w:eastAsia="Times New Roman" w:hAnsi="Calibri" w:cs="Calibri"/>
                <w:color w:val="000000"/>
                <w:sz w:val="18"/>
                <w:szCs w:val="18"/>
                <w:vertAlign w:val="subscript"/>
                <w:lang w:eastAsia="en-GB"/>
              </w:rPr>
              <w:t>2</w:t>
            </w:r>
          </w:p>
        </w:tc>
        <w:tc>
          <w:tcPr>
            <w:tcW w:w="481" w:type="pct"/>
            <w:tcBorders>
              <w:top w:val="nil"/>
              <w:left w:val="nil"/>
              <w:bottom w:val="single" w:sz="4" w:space="0" w:color="auto"/>
              <w:right w:val="single" w:sz="4" w:space="0" w:color="auto"/>
            </w:tcBorders>
            <w:shd w:val="clear" w:color="000000" w:fill="00B0F0"/>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NMVOC</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NH</w:t>
            </w:r>
            <w:r w:rsidRPr="0057457C">
              <w:rPr>
                <w:rFonts w:ascii="Calibri" w:eastAsia="Times New Roman" w:hAnsi="Calibri" w:cs="Calibri"/>
                <w:color w:val="000000"/>
                <w:sz w:val="18"/>
                <w:szCs w:val="18"/>
                <w:vertAlign w:val="subscript"/>
                <w:lang w:eastAsia="en-GB"/>
              </w:rPr>
              <w:t>3</w:t>
            </w:r>
          </w:p>
        </w:tc>
        <w:tc>
          <w:tcPr>
            <w:tcW w:w="386" w:type="pct"/>
            <w:tcBorders>
              <w:top w:val="nil"/>
              <w:left w:val="nil"/>
              <w:bottom w:val="single" w:sz="4" w:space="0" w:color="auto"/>
              <w:right w:val="single" w:sz="4" w:space="0" w:color="auto"/>
            </w:tcBorders>
            <w:shd w:val="clear" w:color="000000" w:fill="00B0F0"/>
            <w:vAlign w:val="center"/>
            <w:hideMark/>
          </w:tcPr>
          <w:p w:rsidR="009F44B2" w:rsidRPr="009F44B2" w:rsidRDefault="0057457C" w:rsidP="009F44B2">
            <w:pPr>
              <w:spacing w:after="0" w:line="240" w:lineRule="auto"/>
              <w:jc w:val="center"/>
              <w:rPr>
                <w:rFonts w:ascii="Calibri" w:eastAsia="Times New Roman" w:hAnsi="Calibri" w:cs="Calibri"/>
                <w:color w:val="000000"/>
                <w:sz w:val="18"/>
                <w:szCs w:val="18"/>
                <w:lang w:eastAsia="en-GB"/>
              </w:rPr>
            </w:pPr>
            <w:r w:rsidRPr="0057457C">
              <w:rPr>
                <w:rFonts w:ascii="Calibri" w:eastAsia="Times New Roman" w:hAnsi="Calibri" w:cs="Calibri"/>
                <w:color w:val="000000"/>
                <w:sz w:val="18"/>
                <w:szCs w:val="18"/>
                <w:lang w:eastAsia="en-GB"/>
              </w:rPr>
              <w:t>PM</w:t>
            </w:r>
            <w:r w:rsidRPr="0057457C">
              <w:rPr>
                <w:rFonts w:ascii="Calibri" w:eastAsia="Times New Roman" w:hAnsi="Calibri" w:cs="Calibri"/>
                <w:color w:val="000000"/>
                <w:sz w:val="18"/>
                <w:szCs w:val="18"/>
                <w:vertAlign w:val="subscript"/>
                <w:lang w:eastAsia="en-GB"/>
              </w:rPr>
              <w:t>2.5</w:t>
            </w:r>
          </w:p>
        </w:tc>
        <w:tc>
          <w:tcPr>
            <w:tcW w:w="1396" w:type="pct"/>
            <w:vMerge/>
            <w:tcBorders>
              <w:top w:val="single" w:sz="8" w:space="0" w:color="auto"/>
              <w:left w:val="single" w:sz="4" w:space="0" w:color="auto"/>
              <w:bottom w:val="single" w:sz="4" w:space="0" w:color="auto"/>
              <w:right w:val="single" w:sz="8" w:space="0" w:color="auto"/>
            </w:tcBorders>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single" w:sz="4" w:space="0" w:color="auto"/>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AT-5E-2017-0001 -TC</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2005</w:t>
            </w:r>
          </w:p>
        </w:tc>
        <w:tc>
          <w:tcPr>
            <w:tcW w:w="346"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96" w:type="pct"/>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AT-5E-2017-0001 -TC</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2010</w:t>
            </w:r>
          </w:p>
        </w:tc>
        <w:tc>
          <w:tcPr>
            <w:tcW w:w="346"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96" w:type="pct"/>
            <w:tcBorders>
              <w:top w:val="single" w:sz="4" w:space="0" w:color="auto"/>
              <w:left w:val="single" w:sz="4" w:space="0" w:color="auto"/>
              <w:bottom w:val="single" w:sz="4"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single" w:sz="4" w:space="0" w:color="auto"/>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AT-5E-2017-0001 -TC</w:t>
            </w:r>
          </w:p>
        </w:tc>
        <w:tc>
          <w:tcPr>
            <w:tcW w:w="345" w:type="pct"/>
            <w:tcBorders>
              <w:top w:val="nil"/>
              <w:left w:val="nil"/>
              <w:bottom w:val="single" w:sz="4" w:space="0" w:color="auto"/>
              <w:right w:val="nil"/>
            </w:tcBorders>
            <w:shd w:val="clear" w:color="000000" w:fill="00B0F0"/>
            <w:noWrap/>
            <w:vAlign w:val="center"/>
            <w:hideMark/>
          </w:tcPr>
          <w:p w:rsidR="009F44B2" w:rsidRPr="009F44B2" w:rsidRDefault="009F44B2" w:rsidP="009F44B2">
            <w:pPr>
              <w:spacing w:after="0" w:line="240" w:lineRule="auto"/>
              <w:jc w:val="center"/>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2015</w:t>
            </w:r>
          </w:p>
        </w:tc>
        <w:tc>
          <w:tcPr>
            <w:tcW w:w="346" w:type="pct"/>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43"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481"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386" w:type="pct"/>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96" w:type="pct"/>
            <w:tcBorders>
              <w:top w:val="single" w:sz="4" w:space="0" w:color="auto"/>
              <w:left w:val="single" w:sz="4" w:space="0" w:color="auto"/>
              <w:bottom w:val="single" w:sz="8" w:space="0" w:color="auto"/>
              <w:right w:val="single" w:sz="8" w:space="0" w:color="auto"/>
            </w:tcBorders>
            <w:shd w:val="clear" w:color="000000" w:fill="D9D9D9"/>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5"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3"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721" w:type="pct"/>
            <w:gridSpan w:val="3"/>
            <w:tcBorders>
              <w:top w:val="single" w:sz="4" w:space="0" w:color="auto"/>
              <w:left w:val="single" w:sz="4" w:space="0" w:color="auto"/>
              <w:bottom w:val="single" w:sz="4" w:space="0" w:color="auto"/>
              <w:right w:val="nil"/>
            </w:tcBorders>
            <w:shd w:val="clear" w:color="000000" w:fill="00B0F0"/>
            <w:noWrap/>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Was the Technical Correction accepted by the MS?</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44B2" w:rsidRPr="009F44B2" w:rsidRDefault="009F44B2" w:rsidP="009F44B2">
            <w:pPr>
              <w:spacing w:after="0" w:line="240" w:lineRule="auto"/>
              <w:jc w:val="center"/>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nil"/>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nil"/>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r w:rsidR="009F44B2" w:rsidRPr="009F44B2" w:rsidTr="009F44B2">
        <w:trPr>
          <w:trHeight w:val="170"/>
        </w:trPr>
        <w:tc>
          <w:tcPr>
            <w:tcW w:w="155" w:type="pct"/>
            <w:vMerge/>
            <w:tcBorders>
              <w:top w:val="single" w:sz="4" w:space="0" w:color="auto"/>
              <w:left w:val="single" w:sz="4" w:space="0" w:color="auto"/>
              <w:bottom w:val="single" w:sz="4" w:space="0" w:color="000000"/>
              <w:right w:val="single" w:sz="4" w:space="0" w:color="auto"/>
            </w:tcBorders>
            <w:vAlign w:val="center"/>
            <w:hideMark/>
          </w:tcPr>
          <w:p w:rsidR="009F44B2" w:rsidRPr="009F44B2" w:rsidRDefault="009F44B2" w:rsidP="009F44B2">
            <w:pPr>
              <w:spacing w:after="0" w:line="240" w:lineRule="auto"/>
              <w:rPr>
                <w:rFonts w:ascii="Calibri" w:eastAsia="Times New Roman" w:hAnsi="Calibri" w:cs="Calibri"/>
                <w:b/>
                <w:bCs/>
                <w:color w:val="FFFFFF"/>
                <w:sz w:val="18"/>
                <w:szCs w:val="18"/>
                <w:lang w:eastAsia="en-GB"/>
              </w:rPr>
            </w:pPr>
          </w:p>
        </w:tc>
        <w:tc>
          <w:tcPr>
            <w:tcW w:w="1030"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5"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43"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481"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38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96" w:type="pct"/>
            <w:tcBorders>
              <w:top w:val="nil"/>
              <w:left w:val="nil"/>
              <w:bottom w:val="single" w:sz="4" w:space="0" w:color="auto"/>
              <w:right w:val="nil"/>
            </w:tcBorders>
            <w:shd w:val="clear" w:color="000000" w:fill="BDD7EE"/>
            <w:vAlign w:val="center"/>
            <w:hideMark/>
          </w:tcPr>
          <w:p w:rsidR="009F44B2" w:rsidRPr="009F44B2" w:rsidRDefault="009F44B2" w:rsidP="009F44B2">
            <w:pPr>
              <w:spacing w:after="0" w:line="240" w:lineRule="auto"/>
              <w:rPr>
                <w:rFonts w:ascii="Calibri" w:eastAsia="Times New Roman" w:hAnsi="Calibri" w:cs="Calibri"/>
                <w:b/>
                <w:bCs/>
                <w:color w:val="000000"/>
                <w:sz w:val="18"/>
                <w:szCs w:val="18"/>
                <w:lang w:eastAsia="en-GB"/>
              </w:rPr>
            </w:pPr>
            <w:r w:rsidRPr="009F44B2">
              <w:rPr>
                <w:rFonts w:ascii="Calibri" w:eastAsia="Times New Roman" w:hAnsi="Calibri" w:cs="Calibri"/>
                <w:b/>
                <w:bCs/>
                <w:color w:val="000000"/>
                <w:sz w:val="18"/>
                <w:szCs w:val="18"/>
                <w:lang w:eastAsia="en-GB"/>
              </w:rPr>
              <w:t> </w:t>
            </w:r>
          </w:p>
        </w:tc>
        <w:tc>
          <w:tcPr>
            <w:tcW w:w="133" w:type="pct"/>
            <w:tcBorders>
              <w:top w:val="nil"/>
              <w:left w:val="nil"/>
              <w:bottom w:val="single" w:sz="4" w:space="0" w:color="auto"/>
              <w:right w:val="single" w:sz="4" w:space="0" w:color="auto"/>
            </w:tcBorders>
            <w:shd w:val="clear" w:color="000000" w:fill="BDD7EE"/>
            <w:noWrap/>
            <w:vAlign w:val="center"/>
            <w:hideMark/>
          </w:tcPr>
          <w:p w:rsidR="009F44B2" w:rsidRPr="009F44B2" w:rsidRDefault="009F44B2" w:rsidP="009F44B2">
            <w:pPr>
              <w:spacing w:after="0" w:line="240" w:lineRule="auto"/>
              <w:rPr>
                <w:rFonts w:ascii="Calibri" w:eastAsia="Times New Roman" w:hAnsi="Calibri" w:cs="Calibri"/>
                <w:color w:val="000000"/>
                <w:sz w:val="18"/>
                <w:szCs w:val="18"/>
                <w:lang w:eastAsia="en-GB"/>
              </w:rPr>
            </w:pPr>
            <w:r w:rsidRPr="009F44B2">
              <w:rPr>
                <w:rFonts w:ascii="Calibri" w:eastAsia="Times New Roman" w:hAnsi="Calibri" w:cs="Calibri"/>
                <w:color w:val="000000"/>
                <w:sz w:val="18"/>
                <w:szCs w:val="18"/>
                <w:lang w:eastAsia="en-GB"/>
              </w:rPr>
              <w:t> </w:t>
            </w:r>
          </w:p>
        </w:tc>
      </w:tr>
    </w:tbl>
    <w:p w:rsidR="009F44B2" w:rsidRDefault="009F44B2">
      <w:pPr>
        <w:rPr>
          <w:highlight w:val="yellow"/>
        </w:rPr>
      </w:pPr>
    </w:p>
    <w:p w:rsidR="00846216" w:rsidRDefault="00207111" w:rsidP="0021004A">
      <w:pPr>
        <w:pStyle w:val="Heading1"/>
        <w:numPr>
          <w:ilvl w:val="0"/>
          <w:numId w:val="0"/>
        </w:numPr>
        <w:ind w:left="360" w:hanging="360"/>
      </w:pPr>
      <w:bookmarkStart w:id="121" w:name="_Toc492152664"/>
      <w:bookmarkStart w:id="122" w:name="_Toc492152974"/>
      <w:bookmarkStart w:id="123" w:name="_Toc492154237"/>
      <w:bookmarkStart w:id="124" w:name="_Ref475629128"/>
      <w:bookmarkStart w:id="125" w:name="_Toc499631271"/>
      <w:bookmarkEnd w:id="121"/>
      <w:bookmarkEnd w:id="122"/>
      <w:bookmarkEnd w:id="123"/>
      <w:r>
        <w:lastRenderedPageBreak/>
        <w:t xml:space="preserve">Annex </w:t>
      </w:r>
      <w:r w:rsidR="00D5722B">
        <w:t>II</w:t>
      </w:r>
      <w:r>
        <w:t>:</w:t>
      </w:r>
      <w:r w:rsidR="00C7208B">
        <w:t xml:space="preserve"> </w:t>
      </w:r>
      <w:r w:rsidR="00FB05D5">
        <w:t>Review</w:t>
      </w:r>
      <w:r w:rsidR="00C7208B">
        <w:t xml:space="preserve"> </w:t>
      </w:r>
      <w:r w:rsidR="00D5722B">
        <w:t>of</w:t>
      </w:r>
      <w:r w:rsidR="00C7208B">
        <w:t xml:space="preserve"> </w:t>
      </w:r>
      <w:r w:rsidR="00F94D03">
        <w:t xml:space="preserve">the 2017 </w:t>
      </w:r>
      <w:r w:rsidR="00D5722B">
        <w:t>adjustment application</w:t>
      </w:r>
      <w:bookmarkEnd w:id="124"/>
      <w:r w:rsidR="008365C6">
        <w:t xml:space="preserve"> </w:t>
      </w:r>
      <w:r w:rsidR="00E60029">
        <w:t>of</w:t>
      </w:r>
      <w:r w:rsidR="00AA360D">
        <w:t xml:space="preserve"> </w:t>
      </w:r>
      <w:r w:rsidR="001D176A">
        <w:t>Austria</w:t>
      </w:r>
      <w:r w:rsidR="001D5FC7">
        <w:t xml:space="preserve"> </w:t>
      </w:r>
      <w:r w:rsidR="0021004A">
        <w:t>T</w:t>
      </w:r>
      <w:r w:rsidR="00846216" w:rsidRPr="00846216">
        <w:t>ERT report for the EC</w:t>
      </w:r>
      <w:bookmarkEnd w:id="125"/>
    </w:p>
    <w:p w:rsidR="00D866CE" w:rsidRPr="002E706D" w:rsidRDefault="00D866CE" w:rsidP="00D866CE">
      <w:pPr>
        <w:rPr>
          <w:b/>
        </w:rPr>
      </w:pPr>
      <w:bookmarkStart w:id="126" w:name="_Toc477866881"/>
      <w:bookmarkStart w:id="127" w:name="_Toc499631319"/>
      <w:r w:rsidRPr="00D743A1">
        <w:rPr>
          <w:b/>
        </w:rPr>
        <w:t>T</w:t>
      </w:r>
      <w:r w:rsidRPr="00D20AD2">
        <w:rPr>
          <w:b/>
        </w:rPr>
        <w:t>able</w:t>
      </w:r>
      <w:r>
        <w:rPr>
          <w:b/>
        </w:rPr>
        <w:t xml:space="preserve"> A2.</w:t>
      </w:r>
      <w:r w:rsidR="009A5EF6">
        <w:rPr>
          <w:b/>
        </w:rPr>
        <w:t xml:space="preserve"> </w:t>
      </w:r>
      <w:r w:rsidRPr="00D20AD2">
        <w:rPr>
          <w:b/>
        </w:rPr>
        <w:fldChar w:fldCharType="begin"/>
      </w:r>
      <w:r w:rsidRPr="00D20AD2">
        <w:rPr>
          <w:b/>
        </w:rPr>
        <w:instrText xml:space="preserve"> SEQ Table \* ARABIC </w:instrText>
      </w:r>
      <w:r w:rsidRPr="00D20AD2">
        <w:rPr>
          <w:b/>
        </w:rPr>
        <w:fldChar w:fldCharType="separate"/>
      </w:r>
      <w:r w:rsidR="00C07297">
        <w:rPr>
          <w:b/>
          <w:noProof/>
        </w:rPr>
        <w:t>6</w:t>
      </w:r>
      <w:r w:rsidRPr="00D20AD2">
        <w:rPr>
          <w:b/>
        </w:rPr>
        <w:fldChar w:fldCharType="end"/>
      </w:r>
      <w:r w:rsidRPr="00D20AD2">
        <w:rPr>
          <w:b/>
        </w:rPr>
        <w:t xml:space="preserve"> Summary Information on the Submitted Adjustment Application, Austria 2017</w:t>
      </w:r>
      <w:bookmarkEnd w:id="126"/>
      <w:bookmarkEnd w:id="127"/>
    </w:p>
    <w:tbl>
      <w:tblPr>
        <w:tblW w:w="895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9"/>
        <w:gridCol w:w="4080"/>
      </w:tblGrid>
      <w:tr w:rsidR="00D866CE" w:rsidRPr="00F636E6" w:rsidTr="00D866CE">
        <w:trPr>
          <w:trHeight w:val="20"/>
        </w:trPr>
        <w:tc>
          <w:tcPr>
            <w:tcW w:w="4879" w:type="dxa"/>
            <w:shd w:val="clear" w:color="C0C0C0" w:fill="D9D9D9"/>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Reasons for adjustment application (Directive 2016/2284, Article 5.1 and Annex IV, Part 4; see also: EB Decision 2012/3, para 6 as amended by EB Decision 2014/1, Annex, para 3)</w:t>
            </w:r>
          </w:p>
        </w:tc>
        <w:tc>
          <w:tcPr>
            <w:tcW w:w="4080" w:type="dxa"/>
            <w:shd w:val="clear" w:color="auto" w:fill="auto"/>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Agriculture 3Da2b, 3Da2c: New sources</w:t>
            </w:r>
          </w:p>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Transport 1A3b: significantly different methodologies</w:t>
            </w:r>
          </w:p>
        </w:tc>
      </w:tr>
      <w:tr w:rsidR="00D866CE" w:rsidRPr="00F636E6" w:rsidTr="00D866CE">
        <w:trPr>
          <w:trHeight w:val="20"/>
        </w:trPr>
        <w:tc>
          <w:tcPr>
            <w:tcW w:w="4879" w:type="dxa"/>
            <w:shd w:val="clear" w:color="C0C0C0" w:fill="D9D9D9"/>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Pollutant/sector for which adjustment is applied for</w:t>
            </w:r>
          </w:p>
        </w:tc>
        <w:tc>
          <w:tcPr>
            <w:tcW w:w="4080" w:type="dxa"/>
            <w:shd w:val="clear" w:color="auto" w:fill="auto"/>
          </w:tcPr>
          <w:p w:rsidR="00D866CE" w:rsidRPr="00F636E6" w:rsidRDefault="0057457C" w:rsidP="00D866CE">
            <w:pPr>
              <w:autoSpaceDE w:val="0"/>
              <w:autoSpaceDN w:val="0"/>
              <w:adjustRightInd w:val="0"/>
              <w:spacing w:line="240" w:lineRule="auto"/>
              <w:rPr>
                <w:rFonts w:cs="Calibri"/>
                <w:bCs/>
                <w:szCs w:val="20"/>
                <w:lang w:eastAsia="en-GB"/>
              </w:rPr>
            </w:pPr>
            <w:r w:rsidRPr="0057457C">
              <w:rPr>
                <w:rFonts w:cs="Calibri"/>
                <w:bCs/>
                <w:szCs w:val="20"/>
                <w:lang w:eastAsia="en-GB"/>
              </w:rPr>
              <w:t>NO</w:t>
            </w:r>
            <w:r w:rsidRPr="0057457C">
              <w:rPr>
                <w:rFonts w:cs="Calibri"/>
                <w:bCs/>
                <w:szCs w:val="20"/>
                <w:vertAlign w:val="subscript"/>
                <w:lang w:eastAsia="en-GB"/>
              </w:rPr>
              <w:t>X</w:t>
            </w:r>
            <w:r w:rsidR="00D866CE" w:rsidRPr="00F636E6">
              <w:rPr>
                <w:rFonts w:cs="Calibri"/>
                <w:bCs/>
                <w:szCs w:val="20"/>
                <w:lang w:eastAsia="en-GB"/>
              </w:rPr>
              <w:t xml:space="preserve">, </w:t>
            </w:r>
            <w:r w:rsidRPr="0057457C">
              <w:rPr>
                <w:rFonts w:cs="Calibri"/>
                <w:bCs/>
                <w:szCs w:val="20"/>
                <w:lang w:eastAsia="en-GB"/>
              </w:rPr>
              <w:t>NH</w:t>
            </w:r>
            <w:r w:rsidRPr="0057457C">
              <w:rPr>
                <w:rFonts w:cs="Calibri"/>
                <w:bCs/>
                <w:szCs w:val="20"/>
                <w:vertAlign w:val="subscript"/>
                <w:lang w:eastAsia="en-GB"/>
              </w:rPr>
              <w:t>3</w:t>
            </w:r>
          </w:p>
        </w:tc>
      </w:tr>
      <w:tr w:rsidR="00D866CE" w:rsidRPr="00F636E6" w:rsidTr="00D866CE">
        <w:trPr>
          <w:trHeight w:val="20"/>
        </w:trPr>
        <w:tc>
          <w:tcPr>
            <w:tcW w:w="4879" w:type="dxa"/>
            <w:shd w:val="clear" w:color="C0C0C0" w:fill="D9D9D9"/>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 xml:space="preserve">Year(s) for which inventory adjustment is applied </w:t>
            </w:r>
          </w:p>
        </w:tc>
        <w:tc>
          <w:tcPr>
            <w:tcW w:w="4080" w:type="dxa"/>
            <w:shd w:val="clear" w:color="auto" w:fill="auto"/>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2010 - 2015</w:t>
            </w:r>
          </w:p>
        </w:tc>
      </w:tr>
      <w:tr w:rsidR="00D866CE" w:rsidRPr="00F636E6" w:rsidTr="00D866CE">
        <w:trPr>
          <w:trHeight w:val="20"/>
        </w:trPr>
        <w:tc>
          <w:tcPr>
            <w:tcW w:w="4879" w:type="dxa"/>
            <w:shd w:val="clear" w:color="C0C0C0" w:fill="D9D9D9"/>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Date of notification of adjustment to the EEA via the EIONET Central Data Repository (CDR)</w:t>
            </w:r>
          </w:p>
        </w:tc>
        <w:tc>
          <w:tcPr>
            <w:tcW w:w="4080" w:type="dxa"/>
            <w:shd w:val="clear" w:color="auto" w:fill="auto"/>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 xml:space="preserve">15 February 2015 </w:t>
            </w:r>
          </w:p>
        </w:tc>
      </w:tr>
      <w:tr w:rsidR="00D866CE" w:rsidRPr="00F636E6" w:rsidTr="00D866CE">
        <w:trPr>
          <w:trHeight w:val="20"/>
        </w:trPr>
        <w:tc>
          <w:tcPr>
            <w:tcW w:w="4879" w:type="dxa"/>
            <w:shd w:val="clear" w:color="C0C0C0" w:fill="D9D9D9"/>
          </w:tcPr>
          <w:p w:rsidR="00D866CE" w:rsidRPr="00F636E6" w:rsidRDefault="00D866CE" w:rsidP="00D866CE">
            <w:pPr>
              <w:autoSpaceDE w:val="0"/>
              <w:autoSpaceDN w:val="0"/>
              <w:adjustRightInd w:val="0"/>
              <w:spacing w:line="240" w:lineRule="auto"/>
              <w:rPr>
                <w:rFonts w:cs="Calibri"/>
                <w:bCs/>
                <w:szCs w:val="20"/>
                <w:lang w:eastAsia="en-GB"/>
              </w:rPr>
            </w:pPr>
            <w:r w:rsidRPr="00F636E6">
              <w:rPr>
                <w:rFonts w:cs="Calibri"/>
                <w:bCs/>
                <w:szCs w:val="20"/>
                <w:lang w:eastAsia="en-GB"/>
              </w:rPr>
              <w:t>Date of submission of supporting documentation</w:t>
            </w:r>
          </w:p>
        </w:tc>
        <w:tc>
          <w:tcPr>
            <w:tcW w:w="4080" w:type="dxa"/>
            <w:shd w:val="clear" w:color="auto" w:fill="auto"/>
          </w:tcPr>
          <w:p w:rsidR="00D866CE" w:rsidRPr="00D866CE" w:rsidRDefault="00D866CE" w:rsidP="00D866CE">
            <w:pPr>
              <w:pStyle w:val="ListParagraph"/>
              <w:numPr>
                <w:ilvl w:val="0"/>
                <w:numId w:val="28"/>
              </w:numPr>
              <w:autoSpaceDE w:val="0"/>
              <w:autoSpaceDN w:val="0"/>
              <w:adjustRightInd w:val="0"/>
              <w:spacing w:line="240" w:lineRule="auto"/>
              <w:rPr>
                <w:rFonts w:cs="Calibri"/>
                <w:bCs/>
                <w:szCs w:val="20"/>
                <w:lang w:eastAsia="en-GB"/>
              </w:rPr>
            </w:pPr>
            <w:r w:rsidRPr="00D866CE">
              <w:rPr>
                <w:rFonts w:cs="Calibri"/>
                <w:bCs/>
                <w:szCs w:val="20"/>
                <w:lang w:eastAsia="en-GB"/>
              </w:rPr>
              <w:t>March 2017</w:t>
            </w:r>
          </w:p>
        </w:tc>
      </w:tr>
    </w:tbl>
    <w:p w:rsidR="00D866CE" w:rsidRDefault="00D866CE" w:rsidP="00D866CE">
      <w:pPr>
        <w:rPr>
          <w:rFonts w:cs="Arial"/>
          <w:b/>
          <w:sz w:val="32"/>
          <w:szCs w:val="32"/>
        </w:rPr>
      </w:pPr>
    </w:p>
    <w:p w:rsidR="00D866CE" w:rsidRPr="001C0572" w:rsidRDefault="00D866CE" w:rsidP="001C0572">
      <w:pPr>
        <w:pStyle w:val="Heading2Aether"/>
      </w:pPr>
      <w:bookmarkStart w:id="128" w:name="_Toc477868953"/>
      <w:bookmarkStart w:id="129" w:name="_Toc499631272"/>
      <w:r w:rsidRPr="001C0572">
        <w:t>A2.1 Introduction</w:t>
      </w:r>
      <w:bookmarkEnd w:id="128"/>
      <w:bookmarkEnd w:id="129"/>
      <w:r w:rsidRPr="001C0572">
        <w:t xml:space="preserve"> </w:t>
      </w:r>
    </w:p>
    <w:p w:rsidR="00D866CE" w:rsidRPr="00E552EC" w:rsidRDefault="00D866CE" w:rsidP="00D866CE">
      <w:pPr>
        <w:pStyle w:val="StandardNum"/>
        <w:ind w:left="142" w:right="284" w:firstLine="0"/>
      </w:pPr>
      <w:r w:rsidRPr="00E552EC">
        <w:t xml:space="preserve">Article 5.8 of the NECD text (Directive (EU) 2016/2284) explains that “The Commission, when exercising its powers under paragraphs 6 and 7 (reviewing the use of flexibilities), shall take into account the relevant guidance documents developed under the LRTAP Convention.” </w:t>
      </w:r>
      <w:r>
        <w:rPr>
          <w:color w:val="000000"/>
        </w:rPr>
        <w:t>Article 8.</w:t>
      </w:r>
      <w:r w:rsidRPr="00E552EC">
        <w:rPr>
          <w:color w:val="000000"/>
        </w:rPr>
        <w:t>4</w:t>
      </w:r>
      <w:r>
        <w:rPr>
          <w:color w:val="000000"/>
        </w:rPr>
        <w:t xml:space="preserve"> and P</w:t>
      </w:r>
      <w:r w:rsidRPr="00E552EC">
        <w:rPr>
          <w:color w:val="000000"/>
        </w:rPr>
        <w:t xml:space="preserve">art 4 of Annex IV of the NECD text further specify that </w:t>
      </w:r>
      <w:r>
        <w:rPr>
          <w:color w:val="000000"/>
        </w:rPr>
        <w:t>Member States</w:t>
      </w:r>
      <w:r w:rsidRPr="00E552EC">
        <w:rPr>
          <w:color w:val="000000"/>
        </w:rPr>
        <w:t xml:space="preserve"> that opt for the adjustment flexibility </w:t>
      </w:r>
      <w:r w:rsidRPr="00E552EC">
        <w:t xml:space="preserve">must include supporting information in the Informative Inventory Report, including a demonstration that the use of the adjustment procedure fulfils the </w:t>
      </w:r>
      <w:r>
        <w:t>relevant conditions set out in A</w:t>
      </w:r>
      <w:r w:rsidRPr="00E552EC">
        <w:t>rticle 5</w:t>
      </w:r>
      <w:r>
        <w:t>.</w:t>
      </w:r>
      <w:r w:rsidRPr="00E552EC">
        <w:t xml:space="preserve">1 and </w:t>
      </w:r>
      <w:r>
        <w:t>P</w:t>
      </w:r>
      <w:r w:rsidRPr="00E552EC">
        <w:t xml:space="preserve">art 4 of Annex IV. The minimum supporting information required is highlighted in </w:t>
      </w:r>
      <w:r>
        <w:t>P</w:t>
      </w:r>
      <w:r w:rsidRPr="00E552EC">
        <w:t xml:space="preserve">art 4.1 of Annex IV (which is based on </w:t>
      </w:r>
      <w:r>
        <w:t xml:space="preserve">Part 1, </w:t>
      </w:r>
      <w:r w:rsidRPr="00E552EC">
        <w:t xml:space="preserve">paragraph 2 of the Annex to LRTAP Executive Body Decision 2012/12). In the chapeau of Annex IV it is further specified that adjusted emission inventories should be prepared using the EMEP reporting guidelines (which in its turn contains references to the relevant EB decisions 2012/3 and 2012/12, as amended in 2014/1), while also adding that reliance upon these EMEP reporting guidelines is without prejudice to the additional arrangements specified in </w:t>
      </w:r>
      <w:r>
        <w:t>P</w:t>
      </w:r>
      <w:r w:rsidRPr="00E552EC">
        <w:t>art 4 of Annex IV.</w:t>
      </w:r>
      <w:r w:rsidRPr="00E552EC">
        <w:rPr>
          <w:i/>
          <w:color w:val="000000"/>
        </w:rPr>
        <w:t xml:space="preserve"> </w:t>
      </w:r>
      <w:r w:rsidRPr="00E552EC">
        <w:rPr>
          <w:color w:val="000000"/>
        </w:rPr>
        <w:t xml:space="preserve">Consequently, the review of Adjustment applications under the NECD will in principle follow the process for reviewing Adjustment applications made under the CLRTAP (as presented in relevant EB decisions), however (formally) without prejudice to the additional arrangements specified in </w:t>
      </w:r>
      <w:r>
        <w:rPr>
          <w:color w:val="000000"/>
        </w:rPr>
        <w:t>P</w:t>
      </w:r>
      <w:r w:rsidRPr="00E552EC">
        <w:rPr>
          <w:color w:val="000000"/>
        </w:rPr>
        <w:t>art 4 of Annex IV of the new NECD.</w:t>
      </w:r>
      <w:r w:rsidRPr="00E552EC">
        <w:rPr>
          <w:rStyle w:val="FootnoteReference"/>
          <w:color w:val="000000"/>
        </w:rPr>
        <w:footnoteReference w:id="4"/>
      </w:r>
      <w:r w:rsidRPr="00E552EC">
        <w:rPr>
          <w:color w:val="000000"/>
        </w:rPr>
        <w:t xml:space="preserve"> It allows inter alia the submission of additional information during the review, necessary for a proper and full assessment of the adjustment application.</w:t>
      </w:r>
    </w:p>
    <w:p w:rsidR="00D866CE" w:rsidRPr="00E552EC" w:rsidRDefault="00D866CE" w:rsidP="00D866CE">
      <w:pPr>
        <w:pStyle w:val="StandardNum"/>
        <w:ind w:left="142" w:right="284" w:firstLine="0"/>
      </w:pPr>
      <w:r w:rsidRPr="00E552EC">
        <w:t>Member States may apply to adjust their inventory data or emission reduction commitments if they are in non-compliance with their emission ceilings established in NEC Directive 2001/81/EC (in accordance with article 21(2) of new NECD). If a M</w:t>
      </w:r>
      <w:r>
        <w:t xml:space="preserve">ember </w:t>
      </w:r>
      <w:r w:rsidRPr="00E552EC">
        <w:t>S</w:t>
      </w:r>
      <w:r>
        <w:t>tate</w:t>
      </w:r>
      <w:r w:rsidRPr="00E552EC">
        <w:t xml:space="preserve"> applies for more than one adjustment and not all these adjustments are required to bring that M</w:t>
      </w:r>
      <w:r>
        <w:t xml:space="preserve">ember </w:t>
      </w:r>
      <w:r w:rsidRPr="00E552EC">
        <w:t>S</w:t>
      </w:r>
      <w:r>
        <w:t>tate</w:t>
      </w:r>
      <w:r w:rsidRPr="00E552EC">
        <w:t xml:space="preserve"> into compliance, that M</w:t>
      </w:r>
      <w:r>
        <w:t xml:space="preserve">ember </w:t>
      </w:r>
      <w:r w:rsidRPr="00E552EC">
        <w:t>S</w:t>
      </w:r>
      <w:r>
        <w:t>tate</w:t>
      </w:r>
      <w:r w:rsidRPr="00E552EC">
        <w:t xml:space="preserve"> should be informed that in accordance with the intent of the adjustment procedure, recommendation for approval will be limited to adjustments </w:t>
      </w:r>
      <w:r w:rsidRPr="00E552EC">
        <w:lastRenderedPageBreak/>
        <w:t>necessary to bring compliance and be invited to withdraw one or more of its adjustments. In making an adjustment application, M</w:t>
      </w:r>
      <w:r>
        <w:t xml:space="preserve">ember </w:t>
      </w:r>
      <w:r w:rsidRPr="00E552EC">
        <w:t>S</w:t>
      </w:r>
      <w:r>
        <w:t>tates</w:t>
      </w:r>
      <w:r w:rsidRPr="00E552EC">
        <w:t xml:space="preserve"> must demonstrate that extraordinary circumstances have given rise to revisions to their emissions estimates. These extraordinary circumstances fall into three broad categories:</w:t>
      </w:r>
    </w:p>
    <w:p w:rsidR="00D866CE" w:rsidRPr="00E552EC" w:rsidRDefault="00D866CE" w:rsidP="00D866CE">
      <w:pPr>
        <w:numPr>
          <w:ilvl w:val="0"/>
          <w:numId w:val="21"/>
        </w:numPr>
        <w:spacing w:after="100" w:line="276" w:lineRule="auto"/>
        <w:ind w:right="284"/>
        <w:jc w:val="both"/>
        <w:rPr>
          <w:rFonts w:eastAsia="Times New Roman" w:cs="Calibri"/>
          <w:lang w:eastAsia="de-DE"/>
        </w:rPr>
      </w:pPr>
      <w:r w:rsidRPr="00E552EC">
        <w:rPr>
          <w:rFonts w:eastAsia="Times New Roman" w:cs="Calibri"/>
          <w:lang w:eastAsia="de-DE"/>
        </w:rPr>
        <w:t>Emission source categories are identified that were not accounted for at the time when the emission reduction commitments were set; or</w:t>
      </w:r>
    </w:p>
    <w:p w:rsidR="00D866CE" w:rsidRPr="00E552EC" w:rsidRDefault="00D866CE" w:rsidP="00D866CE">
      <w:pPr>
        <w:numPr>
          <w:ilvl w:val="0"/>
          <w:numId w:val="21"/>
        </w:numPr>
        <w:spacing w:after="100" w:line="276" w:lineRule="auto"/>
        <w:ind w:right="284"/>
        <w:jc w:val="both"/>
        <w:rPr>
          <w:rFonts w:eastAsia="Times New Roman" w:cs="Calibri"/>
          <w:lang w:eastAsia="de-DE"/>
        </w:rPr>
      </w:pPr>
      <w:r w:rsidRPr="00E552EC">
        <w:rPr>
          <w:rFonts w:eastAsia="Times New Roman" w:cs="Calibri"/>
          <w:lang w:eastAsia="de-DE"/>
        </w:rPr>
        <w:t>For a particular source, the emission factors used to estimate emissions for the year in which emissions reduction commitments are to be attained are significantly different to those used when the emission reduction commitments were set; or</w:t>
      </w:r>
    </w:p>
    <w:p w:rsidR="00D866CE" w:rsidRPr="00E552EC" w:rsidRDefault="00D866CE" w:rsidP="00D866CE">
      <w:pPr>
        <w:numPr>
          <w:ilvl w:val="0"/>
          <w:numId w:val="21"/>
        </w:numPr>
        <w:spacing w:after="100" w:line="276" w:lineRule="auto"/>
        <w:ind w:right="284"/>
        <w:jc w:val="both"/>
        <w:rPr>
          <w:rFonts w:eastAsia="Times New Roman" w:cs="Calibri"/>
          <w:lang w:eastAsia="de-DE"/>
        </w:rPr>
      </w:pPr>
      <w:r w:rsidRPr="00E552EC">
        <w:rPr>
          <w:rFonts w:eastAsia="Times New Roman" w:cs="Calibri"/>
          <w:lang w:eastAsia="de-DE"/>
        </w:rPr>
        <w:t>The methodologies used for determining emissions from specific source categories have undergone significant changes between the time when emission reduction commitments were set and the year they are to be attained.</w:t>
      </w:r>
    </w:p>
    <w:p w:rsidR="00D866CE" w:rsidRPr="00EB4C67" w:rsidRDefault="00D866CE" w:rsidP="00D866CE">
      <w:pPr>
        <w:spacing w:after="100" w:line="276" w:lineRule="auto"/>
        <w:ind w:left="142" w:right="284"/>
        <w:jc w:val="both"/>
        <w:rPr>
          <w:rFonts w:eastAsia="Times New Roman" w:cs="Calibri"/>
          <w:lang w:eastAsia="de-DE"/>
        </w:rPr>
      </w:pPr>
      <w:bookmarkStart w:id="130" w:name="_Hlk492626617"/>
      <w:r w:rsidRPr="00EB4C67">
        <w:rPr>
          <w:color w:val="000000"/>
        </w:rPr>
        <w:t xml:space="preserve">Technical corrections and revised estimates may change the national emission totals making a specific adjustment no longer necessary or make a specific adjustment incompatible/invalid when applied to the same category for which a technical correction or revised estimate was approved. Adjustment applications </w:t>
      </w:r>
      <w:r>
        <w:rPr>
          <w:color w:val="000000"/>
        </w:rPr>
        <w:t xml:space="preserve">that are affected by technical corrections or revised estimates </w:t>
      </w:r>
      <w:r w:rsidRPr="00EB4C67">
        <w:rPr>
          <w:color w:val="000000"/>
        </w:rPr>
        <w:t>should also be reviewed in these cases, but any recommendation on the review of concerned adjustment applications should be subject to the outcome of the work on technical corrections and revised estimates. The review of an adjustment application can therefore recommend acceptance, rejection (with possibly a resubmission next year if still appropriate/required) or be kept pending/open (with principle acceptance of the methodology applied) awaiting the submission of recalculated adjustments in next year’s reporting.</w:t>
      </w:r>
    </w:p>
    <w:bookmarkEnd w:id="130"/>
    <w:p w:rsidR="00D866CE" w:rsidRPr="00E552EC" w:rsidRDefault="00D866CE" w:rsidP="00D866CE">
      <w:pPr>
        <w:pStyle w:val="StandardNum"/>
        <w:ind w:left="142" w:right="284" w:firstLine="0"/>
      </w:pPr>
      <w:r w:rsidRPr="00E552EC">
        <w:t>Any M</w:t>
      </w:r>
      <w:r>
        <w:t xml:space="preserve">ember </w:t>
      </w:r>
      <w:r w:rsidRPr="00E552EC">
        <w:t>S</w:t>
      </w:r>
      <w:r>
        <w:t>tate</w:t>
      </w:r>
      <w:r w:rsidRPr="00E552EC">
        <w:t xml:space="preserve"> submitting an application for an adjustment to its inventory is required to notify the European Commission by 15 February at the latest. As explained above the supporting information must be included in the Informative Inventory Report (by 15 March of the same year) including a demonstration that the use of the adjustment procedure fulfils the </w:t>
      </w:r>
      <w:r>
        <w:t>relevant conditions set out in A</w:t>
      </w:r>
      <w:r w:rsidRPr="00E552EC">
        <w:t>rticle 5</w:t>
      </w:r>
      <w:r>
        <w:t>.</w:t>
      </w:r>
      <w:r w:rsidRPr="00E552EC">
        <w:t>1</w:t>
      </w:r>
      <w:r>
        <w:t xml:space="preserve"> and P</w:t>
      </w:r>
      <w:r w:rsidRPr="00E552EC">
        <w:t xml:space="preserve">art 4 of Annex IV. The minimum supporting information required is specified in </w:t>
      </w:r>
      <w:r>
        <w:t>P</w:t>
      </w:r>
      <w:r w:rsidRPr="00E552EC">
        <w:t>art 4.1 of Annex IV.</w:t>
      </w:r>
    </w:p>
    <w:p w:rsidR="00D866CE" w:rsidRPr="00E552EC" w:rsidRDefault="00D866CE" w:rsidP="00D866CE">
      <w:pPr>
        <w:pStyle w:val="StandardNum"/>
        <w:ind w:left="142" w:right="284" w:firstLine="0"/>
      </w:pPr>
      <w:r w:rsidRPr="00E552EC">
        <w:t xml:space="preserve">As mandated by the </w:t>
      </w:r>
      <w:r w:rsidRPr="00E552EC">
        <w:rPr>
          <w:color w:val="000000"/>
        </w:rPr>
        <w:t xml:space="preserve">European Union’s National Emissions Ceilings Directive (Directive (EU) 2016/2284) </w:t>
      </w:r>
      <w:r w:rsidRPr="00E552EC">
        <w:t xml:space="preserve">applications for adjustments that are submitted by </w:t>
      </w:r>
      <w:r>
        <w:t>Austria</w:t>
      </w:r>
      <w:r w:rsidRPr="00E552EC">
        <w:t xml:space="preserve"> are subject to an expert review. </w:t>
      </w:r>
    </w:p>
    <w:p w:rsidR="00D866CE" w:rsidRPr="00EB4C67" w:rsidRDefault="00D866CE" w:rsidP="00D866CE">
      <w:pPr>
        <w:pStyle w:val="StandardNum"/>
        <w:ind w:left="142" w:right="284" w:firstLine="0"/>
      </w:pPr>
      <w:r w:rsidRPr="00EB4C67">
        <w:t>The reviewers undertake a detailed technical review of the adjustment application in cooperation with EEA and make a recommendation to the European Commission on the acceptance</w:t>
      </w:r>
      <w:r>
        <w:t>,</w:t>
      </w:r>
      <w:r w:rsidRPr="00EB4C67">
        <w:t xml:space="preserve"> rejection </w:t>
      </w:r>
      <w:r>
        <w:t xml:space="preserve">or continuation </w:t>
      </w:r>
      <w:r w:rsidRPr="00EB4C67">
        <w:t xml:space="preserve">of the application. The European Commission then takes its decision on any adjustment application based on the outcome of the technical assessment completed by the reviewers considering also the effect of </w:t>
      </w:r>
      <w:r w:rsidRPr="00EB4C67">
        <w:rPr>
          <w:iCs/>
        </w:rPr>
        <w:t>technical corrections and revised estimates</w:t>
      </w:r>
      <w:r w:rsidRPr="00EB4C67">
        <w:t xml:space="preserve">. </w:t>
      </w:r>
    </w:p>
    <w:p w:rsidR="00D866CE" w:rsidRPr="00E552EC" w:rsidRDefault="00D866CE" w:rsidP="00D866CE">
      <w:pPr>
        <w:pStyle w:val="NoSpacing"/>
      </w:pPr>
    </w:p>
    <w:p w:rsidR="00D866CE" w:rsidRDefault="00D866CE" w:rsidP="00D866CE">
      <w:pPr>
        <w:rPr>
          <w:rFonts w:ascii="Calibri" w:eastAsia="Times New Roman" w:hAnsi="Calibri" w:cs="Times New Roman"/>
          <w:b/>
          <w:bCs/>
          <w:color w:val="0070C0"/>
          <w:lang w:val="x-none" w:eastAsia="x-none"/>
        </w:rPr>
      </w:pPr>
      <w:bookmarkStart w:id="131" w:name="_Toc390425762"/>
      <w:bookmarkStart w:id="132" w:name="_Ref391399619"/>
      <w:bookmarkStart w:id="133" w:name="_Toc454531589"/>
      <w:bookmarkStart w:id="134" w:name="_Toc477868954"/>
      <w:bookmarkStart w:id="135" w:name="_Toc390170802"/>
      <w:bookmarkStart w:id="136" w:name="_Toc390170859"/>
      <w:r>
        <w:br w:type="page"/>
      </w:r>
    </w:p>
    <w:p w:rsidR="00D866CE" w:rsidRPr="00E552EC" w:rsidRDefault="00D866CE" w:rsidP="00D866CE">
      <w:pPr>
        <w:pStyle w:val="Heading2Aether"/>
        <w:rPr>
          <w:sz w:val="22"/>
          <w:szCs w:val="22"/>
        </w:rPr>
      </w:pPr>
      <w:bookmarkStart w:id="137" w:name="_Toc499631273"/>
      <w:r>
        <w:rPr>
          <w:sz w:val="22"/>
          <w:szCs w:val="22"/>
        </w:rPr>
        <w:lastRenderedPageBreak/>
        <w:t xml:space="preserve">A2.1.1 </w:t>
      </w:r>
      <w:r w:rsidRPr="00E552EC">
        <w:rPr>
          <w:sz w:val="22"/>
          <w:szCs w:val="22"/>
        </w:rPr>
        <w:t>Review of Submitted Adjustments</w:t>
      </w:r>
      <w:bookmarkEnd w:id="131"/>
      <w:bookmarkEnd w:id="132"/>
      <w:bookmarkEnd w:id="133"/>
      <w:bookmarkEnd w:id="134"/>
      <w:bookmarkEnd w:id="137"/>
      <w:r w:rsidRPr="00E552EC">
        <w:rPr>
          <w:sz w:val="22"/>
          <w:szCs w:val="22"/>
        </w:rPr>
        <w:t xml:space="preserve"> </w:t>
      </w:r>
    </w:p>
    <w:p w:rsidR="00D866CE" w:rsidRPr="00E552EC" w:rsidRDefault="00D866CE" w:rsidP="00D866CE">
      <w:pPr>
        <w:rPr>
          <w:rFonts w:cs="Arial"/>
          <w:b/>
        </w:rPr>
      </w:pPr>
      <w:bookmarkStart w:id="138" w:name="_Toc477866882"/>
      <w:bookmarkStart w:id="139" w:name="_Toc499631320"/>
      <w:r w:rsidRPr="00E552EC">
        <w:rPr>
          <w:b/>
        </w:rPr>
        <w:t>Table</w:t>
      </w:r>
      <w:r>
        <w:rPr>
          <w:b/>
        </w:rPr>
        <w:t xml:space="preserve"> A2.</w:t>
      </w:r>
      <w:r w:rsidRPr="00E552EC">
        <w:rPr>
          <w:b/>
        </w:rPr>
        <w:t xml:space="preserve"> </w:t>
      </w:r>
      <w:r w:rsidRPr="00E552EC">
        <w:rPr>
          <w:b/>
        </w:rPr>
        <w:fldChar w:fldCharType="begin"/>
      </w:r>
      <w:r w:rsidRPr="00E552EC">
        <w:rPr>
          <w:b/>
        </w:rPr>
        <w:instrText xml:space="preserve"> SEQ Table \* ARABIC </w:instrText>
      </w:r>
      <w:r w:rsidRPr="00E552EC">
        <w:rPr>
          <w:b/>
        </w:rPr>
        <w:fldChar w:fldCharType="separate"/>
      </w:r>
      <w:r w:rsidR="00C07297">
        <w:rPr>
          <w:b/>
          <w:noProof/>
        </w:rPr>
        <w:t>7</w:t>
      </w:r>
      <w:r w:rsidRPr="00E552EC">
        <w:rPr>
          <w:b/>
        </w:rPr>
        <w:fldChar w:fldCharType="end"/>
      </w:r>
      <w:r w:rsidRPr="00E552EC">
        <w:rPr>
          <w:rFonts w:cs="Arial"/>
          <w:b/>
        </w:rPr>
        <w:t xml:space="preserve"> </w:t>
      </w:r>
      <w:r w:rsidRPr="00E552EC">
        <w:rPr>
          <w:b/>
        </w:rPr>
        <w:t>Expert Review Team</w:t>
      </w:r>
      <w:bookmarkEnd w:id="138"/>
      <w:bookmarkEnd w:id="139"/>
    </w:p>
    <w:tbl>
      <w:tblPr>
        <w:tblW w:w="8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78"/>
        <w:gridCol w:w="2468"/>
        <w:gridCol w:w="1695"/>
      </w:tblGrid>
      <w:tr w:rsidR="00D866CE" w:rsidRPr="00E552EC" w:rsidTr="00D866CE">
        <w:tc>
          <w:tcPr>
            <w:tcW w:w="2518" w:type="dxa"/>
            <w:shd w:val="clear" w:color="auto" w:fill="D9D9D9"/>
            <w:vAlign w:val="center"/>
          </w:tcPr>
          <w:p w:rsidR="00D866CE" w:rsidRPr="00F636E6" w:rsidRDefault="00D866CE" w:rsidP="00D866CE">
            <w:pPr>
              <w:spacing w:before="60" w:after="60"/>
              <w:rPr>
                <w:rFonts w:cs="Arial"/>
                <w:b/>
                <w:sz w:val="20"/>
                <w:szCs w:val="20"/>
              </w:rPr>
            </w:pPr>
            <w:r w:rsidRPr="00F636E6">
              <w:rPr>
                <w:rFonts w:cs="Arial"/>
                <w:b/>
                <w:sz w:val="20"/>
                <w:szCs w:val="20"/>
              </w:rPr>
              <w:t>Role</w:t>
            </w:r>
          </w:p>
        </w:tc>
        <w:tc>
          <w:tcPr>
            <w:tcW w:w="2278" w:type="dxa"/>
            <w:shd w:val="clear" w:color="auto" w:fill="D9D9D9"/>
            <w:vAlign w:val="center"/>
          </w:tcPr>
          <w:p w:rsidR="00D866CE" w:rsidRPr="00F636E6" w:rsidRDefault="00D866CE" w:rsidP="00D866CE">
            <w:pPr>
              <w:spacing w:before="60" w:after="60"/>
              <w:rPr>
                <w:rFonts w:cs="Arial"/>
                <w:b/>
                <w:sz w:val="20"/>
                <w:szCs w:val="20"/>
              </w:rPr>
            </w:pPr>
            <w:r w:rsidRPr="00F636E6">
              <w:rPr>
                <w:rFonts w:cs="Arial"/>
                <w:b/>
                <w:sz w:val="20"/>
                <w:szCs w:val="20"/>
              </w:rPr>
              <w:t>Sectors</w:t>
            </w:r>
          </w:p>
        </w:tc>
        <w:tc>
          <w:tcPr>
            <w:tcW w:w="2468" w:type="dxa"/>
            <w:shd w:val="clear" w:color="auto" w:fill="D9D9D9"/>
            <w:vAlign w:val="center"/>
          </w:tcPr>
          <w:p w:rsidR="00D866CE" w:rsidRPr="00F636E6" w:rsidRDefault="00D866CE" w:rsidP="00D866CE">
            <w:pPr>
              <w:spacing w:before="60" w:after="60"/>
              <w:rPr>
                <w:rFonts w:cs="Arial"/>
                <w:b/>
                <w:sz w:val="20"/>
                <w:szCs w:val="20"/>
              </w:rPr>
            </w:pPr>
            <w:r w:rsidRPr="00F636E6">
              <w:rPr>
                <w:rFonts w:cs="Arial"/>
                <w:b/>
                <w:sz w:val="20"/>
                <w:szCs w:val="20"/>
              </w:rPr>
              <w:t>Name</w:t>
            </w:r>
          </w:p>
        </w:tc>
        <w:tc>
          <w:tcPr>
            <w:tcW w:w="1695" w:type="dxa"/>
            <w:shd w:val="clear" w:color="auto" w:fill="D9D9D9"/>
            <w:vAlign w:val="center"/>
          </w:tcPr>
          <w:p w:rsidR="00D866CE" w:rsidRPr="00F636E6" w:rsidRDefault="00D866CE" w:rsidP="00D866CE">
            <w:pPr>
              <w:spacing w:before="60" w:after="60"/>
              <w:rPr>
                <w:rFonts w:cs="Arial"/>
                <w:b/>
                <w:sz w:val="20"/>
                <w:szCs w:val="20"/>
              </w:rPr>
            </w:pPr>
            <w:r w:rsidRPr="00F636E6">
              <w:rPr>
                <w:rFonts w:cs="Arial"/>
                <w:b/>
                <w:sz w:val="20"/>
                <w:szCs w:val="20"/>
              </w:rPr>
              <w:t>Country</w:t>
            </w:r>
          </w:p>
        </w:tc>
      </w:tr>
      <w:tr w:rsidR="00D866CE" w:rsidRPr="00E552EC" w:rsidTr="00D866CE">
        <w:tc>
          <w:tcPr>
            <w:tcW w:w="2518" w:type="dxa"/>
            <w:vAlign w:val="center"/>
          </w:tcPr>
          <w:p w:rsidR="00D866CE" w:rsidRPr="00F636E6" w:rsidRDefault="00D866CE" w:rsidP="00D866CE">
            <w:pPr>
              <w:spacing w:before="60" w:after="60"/>
              <w:rPr>
                <w:rFonts w:cs="Arial"/>
                <w:sz w:val="20"/>
                <w:szCs w:val="20"/>
              </w:rPr>
            </w:pPr>
            <w:r w:rsidRPr="00F636E6">
              <w:rPr>
                <w:rFonts w:cs="Arial"/>
                <w:sz w:val="20"/>
                <w:szCs w:val="20"/>
              </w:rPr>
              <w:t>Adjustment lead reviewer</w:t>
            </w:r>
          </w:p>
        </w:tc>
        <w:tc>
          <w:tcPr>
            <w:tcW w:w="2278" w:type="dxa"/>
            <w:vAlign w:val="center"/>
          </w:tcPr>
          <w:p w:rsidR="00D866CE" w:rsidRPr="00F636E6" w:rsidRDefault="00D866CE" w:rsidP="00D866CE">
            <w:pPr>
              <w:spacing w:before="60" w:after="60"/>
              <w:rPr>
                <w:rFonts w:cs="Arial"/>
                <w:sz w:val="20"/>
                <w:szCs w:val="20"/>
              </w:rPr>
            </w:pPr>
            <w:r w:rsidRPr="00F636E6">
              <w:rPr>
                <w:rFonts w:cs="Arial"/>
                <w:sz w:val="20"/>
                <w:szCs w:val="20"/>
              </w:rPr>
              <w:t>All</w:t>
            </w:r>
          </w:p>
        </w:tc>
        <w:tc>
          <w:tcPr>
            <w:tcW w:w="2468" w:type="dxa"/>
            <w:vAlign w:val="center"/>
          </w:tcPr>
          <w:p w:rsidR="00D866CE" w:rsidRPr="00F636E6" w:rsidRDefault="00D866CE" w:rsidP="00D866CE">
            <w:pPr>
              <w:spacing w:before="60" w:after="60"/>
              <w:rPr>
                <w:rFonts w:cs="Arial"/>
                <w:sz w:val="20"/>
                <w:szCs w:val="20"/>
              </w:rPr>
            </w:pPr>
            <w:r w:rsidRPr="00F636E6">
              <w:rPr>
                <w:rFonts w:cs="Arial"/>
                <w:sz w:val="20"/>
                <w:szCs w:val="20"/>
              </w:rPr>
              <w:t xml:space="preserve">Chris Dore </w:t>
            </w:r>
          </w:p>
        </w:tc>
        <w:tc>
          <w:tcPr>
            <w:tcW w:w="1695" w:type="dxa"/>
            <w:vAlign w:val="center"/>
          </w:tcPr>
          <w:p w:rsidR="00D866CE" w:rsidRPr="00F636E6" w:rsidRDefault="00D866CE" w:rsidP="00D866CE">
            <w:pPr>
              <w:spacing w:before="60" w:after="60"/>
              <w:rPr>
                <w:rFonts w:cs="Arial"/>
                <w:sz w:val="20"/>
                <w:szCs w:val="20"/>
              </w:rPr>
            </w:pPr>
            <w:r w:rsidRPr="00F636E6">
              <w:rPr>
                <w:rFonts w:cs="Arial"/>
                <w:sz w:val="20"/>
                <w:szCs w:val="20"/>
              </w:rPr>
              <w:t>Project team</w:t>
            </w:r>
          </w:p>
        </w:tc>
      </w:tr>
      <w:tr w:rsidR="00D866CE" w:rsidRPr="00E552EC" w:rsidTr="00D866CE">
        <w:tc>
          <w:tcPr>
            <w:tcW w:w="2518" w:type="dxa"/>
            <w:vAlign w:val="center"/>
          </w:tcPr>
          <w:p w:rsidR="00D866CE" w:rsidRPr="00F636E6" w:rsidRDefault="00D866CE" w:rsidP="00D866CE">
            <w:pPr>
              <w:spacing w:before="60" w:after="60"/>
              <w:rPr>
                <w:rFonts w:cs="Arial"/>
                <w:sz w:val="20"/>
                <w:szCs w:val="20"/>
              </w:rPr>
            </w:pPr>
            <w:r w:rsidRPr="00F636E6">
              <w:rPr>
                <w:rFonts w:cs="Arial"/>
                <w:sz w:val="20"/>
                <w:szCs w:val="20"/>
              </w:rPr>
              <w:t>Primary expert reviewer</w:t>
            </w:r>
          </w:p>
        </w:tc>
        <w:tc>
          <w:tcPr>
            <w:tcW w:w="2278" w:type="dxa"/>
            <w:vAlign w:val="center"/>
          </w:tcPr>
          <w:p w:rsidR="00D866CE" w:rsidRPr="00F636E6" w:rsidDel="00F209CD" w:rsidRDefault="00D866CE" w:rsidP="00D866CE">
            <w:pPr>
              <w:spacing w:before="60" w:after="60"/>
              <w:rPr>
                <w:rFonts w:cs="Arial"/>
                <w:sz w:val="20"/>
                <w:szCs w:val="20"/>
              </w:rPr>
            </w:pPr>
            <w:r w:rsidRPr="00F636E6">
              <w:rPr>
                <w:rFonts w:cs="Arial"/>
                <w:sz w:val="20"/>
                <w:szCs w:val="20"/>
              </w:rPr>
              <w:t>Agriculture</w:t>
            </w:r>
          </w:p>
        </w:tc>
        <w:tc>
          <w:tcPr>
            <w:tcW w:w="2468" w:type="dxa"/>
            <w:vAlign w:val="center"/>
          </w:tcPr>
          <w:p w:rsidR="00D866CE" w:rsidRPr="00F636E6" w:rsidRDefault="00D866CE" w:rsidP="00D866CE">
            <w:pPr>
              <w:spacing w:before="60" w:after="60"/>
              <w:rPr>
                <w:sz w:val="20"/>
                <w:szCs w:val="20"/>
              </w:rPr>
            </w:pPr>
            <w:r w:rsidRPr="00F636E6">
              <w:rPr>
                <w:rFonts w:cs="Arial"/>
                <w:sz w:val="20"/>
                <w:szCs w:val="20"/>
              </w:rPr>
              <w:t>Mette H. Mikkelsen</w:t>
            </w:r>
          </w:p>
        </w:tc>
        <w:tc>
          <w:tcPr>
            <w:tcW w:w="1695" w:type="dxa"/>
            <w:vAlign w:val="center"/>
          </w:tcPr>
          <w:p w:rsidR="00D866CE" w:rsidRPr="00F636E6" w:rsidRDefault="00D866CE" w:rsidP="00D866CE">
            <w:pPr>
              <w:spacing w:before="60" w:after="60"/>
              <w:rPr>
                <w:rFonts w:cs="Arial"/>
                <w:sz w:val="20"/>
                <w:szCs w:val="20"/>
              </w:rPr>
            </w:pPr>
            <w:r w:rsidRPr="00F636E6">
              <w:rPr>
                <w:rFonts w:cs="Arial"/>
                <w:sz w:val="20"/>
                <w:szCs w:val="20"/>
              </w:rPr>
              <w:t>Denmark</w:t>
            </w:r>
          </w:p>
        </w:tc>
      </w:tr>
      <w:tr w:rsidR="00D866CE" w:rsidRPr="00E552EC" w:rsidTr="00D866CE">
        <w:tc>
          <w:tcPr>
            <w:tcW w:w="2518" w:type="dxa"/>
            <w:vAlign w:val="center"/>
          </w:tcPr>
          <w:p w:rsidR="00D866CE" w:rsidRPr="00F636E6" w:rsidRDefault="00D866CE" w:rsidP="00D866CE">
            <w:pPr>
              <w:spacing w:before="60" w:after="60"/>
              <w:rPr>
                <w:rFonts w:cs="Arial"/>
                <w:sz w:val="20"/>
                <w:szCs w:val="20"/>
              </w:rPr>
            </w:pPr>
            <w:r w:rsidRPr="00F636E6">
              <w:rPr>
                <w:rFonts w:cs="Arial"/>
                <w:sz w:val="20"/>
                <w:szCs w:val="20"/>
              </w:rPr>
              <w:t>Secondary expert reviewer</w:t>
            </w:r>
          </w:p>
        </w:tc>
        <w:tc>
          <w:tcPr>
            <w:tcW w:w="2278" w:type="dxa"/>
            <w:vAlign w:val="center"/>
          </w:tcPr>
          <w:p w:rsidR="00D866CE" w:rsidRPr="00F636E6" w:rsidDel="00F209CD" w:rsidRDefault="00D866CE" w:rsidP="00D866CE">
            <w:pPr>
              <w:spacing w:before="60" w:after="60"/>
              <w:rPr>
                <w:rFonts w:cs="Arial"/>
                <w:sz w:val="20"/>
                <w:szCs w:val="20"/>
              </w:rPr>
            </w:pPr>
            <w:r w:rsidRPr="00F636E6">
              <w:rPr>
                <w:rFonts w:cs="Arial"/>
                <w:sz w:val="20"/>
                <w:szCs w:val="20"/>
              </w:rPr>
              <w:t>Agriculture</w:t>
            </w:r>
          </w:p>
        </w:tc>
        <w:tc>
          <w:tcPr>
            <w:tcW w:w="2468" w:type="dxa"/>
            <w:vAlign w:val="center"/>
          </w:tcPr>
          <w:p w:rsidR="00D866CE" w:rsidRPr="00F636E6" w:rsidRDefault="00D866CE" w:rsidP="00D866CE">
            <w:pPr>
              <w:spacing w:before="60" w:after="60"/>
              <w:rPr>
                <w:sz w:val="20"/>
                <w:szCs w:val="20"/>
              </w:rPr>
            </w:pPr>
            <w:r w:rsidRPr="00F636E6">
              <w:rPr>
                <w:rFonts w:cs="Arial"/>
                <w:sz w:val="20"/>
                <w:szCs w:val="20"/>
              </w:rPr>
              <w:t>Justin Goodwin</w:t>
            </w:r>
          </w:p>
        </w:tc>
        <w:tc>
          <w:tcPr>
            <w:tcW w:w="1695" w:type="dxa"/>
            <w:vAlign w:val="center"/>
          </w:tcPr>
          <w:p w:rsidR="00D866CE" w:rsidRPr="00F636E6" w:rsidRDefault="00D866CE" w:rsidP="00D866CE">
            <w:pPr>
              <w:spacing w:before="60" w:after="60"/>
              <w:rPr>
                <w:rFonts w:cs="Arial"/>
                <w:sz w:val="20"/>
                <w:szCs w:val="20"/>
              </w:rPr>
            </w:pPr>
            <w:r w:rsidRPr="00F636E6">
              <w:rPr>
                <w:rFonts w:cs="Arial"/>
                <w:sz w:val="20"/>
                <w:szCs w:val="20"/>
              </w:rPr>
              <w:t>United Kingdom</w:t>
            </w:r>
          </w:p>
        </w:tc>
      </w:tr>
      <w:tr w:rsidR="00D866CE" w:rsidRPr="00E552EC" w:rsidTr="00D866CE">
        <w:tc>
          <w:tcPr>
            <w:tcW w:w="2518" w:type="dxa"/>
          </w:tcPr>
          <w:p w:rsidR="00D866CE" w:rsidRPr="00F636E6" w:rsidRDefault="00D866CE" w:rsidP="00D866CE">
            <w:pPr>
              <w:spacing w:before="60" w:after="60"/>
              <w:rPr>
                <w:rFonts w:cs="Arial"/>
                <w:sz w:val="20"/>
                <w:szCs w:val="20"/>
              </w:rPr>
            </w:pPr>
            <w:r w:rsidRPr="00F636E6">
              <w:rPr>
                <w:sz w:val="20"/>
                <w:szCs w:val="20"/>
              </w:rPr>
              <w:t>Primary expert reviewer</w:t>
            </w:r>
          </w:p>
        </w:tc>
        <w:tc>
          <w:tcPr>
            <w:tcW w:w="2278" w:type="dxa"/>
            <w:vAlign w:val="center"/>
          </w:tcPr>
          <w:p w:rsidR="00D866CE" w:rsidRPr="00F636E6" w:rsidRDefault="00D866CE" w:rsidP="00D866CE">
            <w:pPr>
              <w:spacing w:before="60" w:after="60"/>
              <w:rPr>
                <w:rFonts w:cs="Arial"/>
                <w:sz w:val="20"/>
                <w:szCs w:val="20"/>
              </w:rPr>
            </w:pPr>
            <w:r w:rsidRPr="00F636E6">
              <w:rPr>
                <w:rFonts w:cs="Arial"/>
                <w:sz w:val="20"/>
                <w:szCs w:val="20"/>
              </w:rPr>
              <w:t>Transport</w:t>
            </w:r>
          </w:p>
        </w:tc>
        <w:tc>
          <w:tcPr>
            <w:tcW w:w="2468" w:type="dxa"/>
            <w:vAlign w:val="center"/>
          </w:tcPr>
          <w:p w:rsidR="00D866CE" w:rsidRPr="00F636E6" w:rsidRDefault="00D866CE" w:rsidP="00D866CE">
            <w:pPr>
              <w:spacing w:before="60" w:after="60"/>
              <w:rPr>
                <w:rFonts w:cs="Arial"/>
                <w:sz w:val="20"/>
                <w:szCs w:val="20"/>
              </w:rPr>
            </w:pPr>
            <w:r w:rsidRPr="00F636E6">
              <w:rPr>
                <w:rFonts w:cs="Arial"/>
                <w:sz w:val="20"/>
                <w:szCs w:val="20"/>
              </w:rPr>
              <w:t>Giorgos Mellios</w:t>
            </w:r>
          </w:p>
        </w:tc>
        <w:tc>
          <w:tcPr>
            <w:tcW w:w="1695" w:type="dxa"/>
            <w:vAlign w:val="center"/>
          </w:tcPr>
          <w:p w:rsidR="00D866CE" w:rsidRPr="00F636E6" w:rsidRDefault="00D866CE" w:rsidP="00D866CE">
            <w:pPr>
              <w:spacing w:before="60" w:after="60"/>
              <w:rPr>
                <w:rFonts w:cs="Arial"/>
                <w:sz w:val="20"/>
                <w:szCs w:val="20"/>
              </w:rPr>
            </w:pPr>
            <w:r w:rsidRPr="00F636E6">
              <w:rPr>
                <w:rFonts w:cs="Arial"/>
                <w:sz w:val="20"/>
                <w:szCs w:val="20"/>
              </w:rPr>
              <w:t>Greece</w:t>
            </w:r>
          </w:p>
        </w:tc>
      </w:tr>
      <w:tr w:rsidR="00D866CE" w:rsidRPr="00E552EC" w:rsidTr="00D866CE">
        <w:tc>
          <w:tcPr>
            <w:tcW w:w="2518" w:type="dxa"/>
          </w:tcPr>
          <w:p w:rsidR="00D866CE" w:rsidRPr="00F636E6" w:rsidRDefault="00D866CE" w:rsidP="00D866CE">
            <w:pPr>
              <w:spacing w:before="60" w:after="60"/>
              <w:rPr>
                <w:rFonts w:cs="Arial"/>
                <w:sz w:val="20"/>
                <w:szCs w:val="20"/>
              </w:rPr>
            </w:pPr>
            <w:r w:rsidRPr="00F636E6">
              <w:rPr>
                <w:sz w:val="20"/>
                <w:szCs w:val="20"/>
              </w:rPr>
              <w:t>Secondary expert reviewer</w:t>
            </w:r>
          </w:p>
        </w:tc>
        <w:tc>
          <w:tcPr>
            <w:tcW w:w="2278" w:type="dxa"/>
            <w:vAlign w:val="center"/>
          </w:tcPr>
          <w:p w:rsidR="00D866CE" w:rsidRPr="00F636E6" w:rsidRDefault="00D866CE" w:rsidP="00D866CE">
            <w:pPr>
              <w:spacing w:before="60" w:after="60"/>
              <w:rPr>
                <w:rFonts w:cs="Arial"/>
                <w:sz w:val="20"/>
                <w:szCs w:val="20"/>
              </w:rPr>
            </w:pPr>
            <w:r w:rsidRPr="00F636E6">
              <w:rPr>
                <w:rFonts w:cs="Arial"/>
                <w:sz w:val="20"/>
                <w:szCs w:val="20"/>
              </w:rPr>
              <w:t xml:space="preserve">Transport </w:t>
            </w:r>
          </w:p>
        </w:tc>
        <w:tc>
          <w:tcPr>
            <w:tcW w:w="2468" w:type="dxa"/>
            <w:vAlign w:val="center"/>
          </w:tcPr>
          <w:p w:rsidR="00D866CE" w:rsidRPr="00F636E6" w:rsidRDefault="00D866CE" w:rsidP="00D866CE">
            <w:pPr>
              <w:spacing w:before="60" w:after="60"/>
              <w:rPr>
                <w:rFonts w:cs="Arial"/>
                <w:sz w:val="20"/>
                <w:szCs w:val="20"/>
              </w:rPr>
            </w:pPr>
            <w:r w:rsidRPr="00F636E6">
              <w:rPr>
                <w:rFonts w:cs="Arial"/>
                <w:sz w:val="20"/>
                <w:szCs w:val="20"/>
              </w:rPr>
              <w:t>Yvonne Pang</w:t>
            </w:r>
          </w:p>
        </w:tc>
        <w:tc>
          <w:tcPr>
            <w:tcW w:w="1695" w:type="dxa"/>
            <w:vAlign w:val="center"/>
          </w:tcPr>
          <w:p w:rsidR="00D866CE" w:rsidRPr="00F636E6" w:rsidRDefault="00D866CE" w:rsidP="00D866CE">
            <w:pPr>
              <w:spacing w:before="60" w:after="60"/>
              <w:rPr>
                <w:rFonts w:cs="Arial"/>
                <w:sz w:val="20"/>
                <w:szCs w:val="20"/>
              </w:rPr>
            </w:pPr>
            <w:r w:rsidRPr="00F636E6">
              <w:rPr>
                <w:rFonts w:cs="Arial"/>
                <w:sz w:val="20"/>
                <w:szCs w:val="20"/>
              </w:rPr>
              <w:t>United Kingdom</w:t>
            </w:r>
          </w:p>
        </w:tc>
      </w:tr>
      <w:tr w:rsidR="00D866CE" w:rsidRPr="00E552EC" w:rsidTr="00D866CE">
        <w:tc>
          <w:tcPr>
            <w:tcW w:w="2518" w:type="dxa"/>
            <w:vAlign w:val="center"/>
          </w:tcPr>
          <w:p w:rsidR="00D866CE" w:rsidRPr="00F636E6" w:rsidRDefault="00D866CE" w:rsidP="00D866CE">
            <w:pPr>
              <w:spacing w:before="60" w:after="60"/>
              <w:rPr>
                <w:rFonts w:cs="Arial"/>
                <w:sz w:val="20"/>
                <w:szCs w:val="20"/>
              </w:rPr>
            </w:pPr>
            <w:r w:rsidRPr="00F636E6">
              <w:rPr>
                <w:rFonts w:cs="Arial"/>
                <w:sz w:val="20"/>
                <w:szCs w:val="20"/>
              </w:rPr>
              <w:t xml:space="preserve">Basic checks (Step 1 and 2) </w:t>
            </w:r>
          </w:p>
        </w:tc>
        <w:tc>
          <w:tcPr>
            <w:tcW w:w="2278" w:type="dxa"/>
            <w:vAlign w:val="center"/>
          </w:tcPr>
          <w:p w:rsidR="00D866CE" w:rsidRPr="00F636E6" w:rsidRDefault="00D866CE" w:rsidP="00D866CE">
            <w:pPr>
              <w:spacing w:before="60" w:after="60"/>
              <w:rPr>
                <w:rFonts w:cs="Arial"/>
                <w:sz w:val="20"/>
                <w:szCs w:val="20"/>
                <w:highlight w:val="yellow"/>
              </w:rPr>
            </w:pPr>
            <w:r w:rsidRPr="00F636E6">
              <w:rPr>
                <w:rFonts w:cs="Arial"/>
                <w:sz w:val="20"/>
                <w:szCs w:val="20"/>
              </w:rPr>
              <w:t>N/A</w:t>
            </w:r>
          </w:p>
        </w:tc>
        <w:tc>
          <w:tcPr>
            <w:tcW w:w="2468" w:type="dxa"/>
            <w:vAlign w:val="center"/>
          </w:tcPr>
          <w:p w:rsidR="00D866CE" w:rsidRDefault="00D866CE" w:rsidP="00D866CE">
            <w:pPr>
              <w:spacing w:before="60" w:after="60"/>
              <w:rPr>
                <w:rFonts w:cs="Arial"/>
                <w:sz w:val="20"/>
                <w:szCs w:val="20"/>
              </w:rPr>
            </w:pPr>
            <w:r w:rsidRPr="00F636E6">
              <w:rPr>
                <w:rFonts w:cs="Arial"/>
                <w:sz w:val="20"/>
                <w:szCs w:val="20"/>
              </w:rPr>
              <w:t>Katarina Mareckova</w:t>
            </w:r>
            <w:r>
              <w:rPr>
                <w:rFonts w:cs="Arial"/>
                <w:sz w:val="20"/>
                <w:szCs w:val="20"/>
              </w:rPr>
              <w:t>,</w:t>
            </w:r>
          </w:p>
          <w:p w:rsidR="00D866CE" w:rsidRPr="00F636E6" w:rsidRDefault="00D866CE" w:rsidP="00D866CE">
            <w:pPr>
              <w:spacing w:before="60" w:after="60"/>
              <w:rPr>
                <w:sz w:val="20"/>
                <w:szCs w:val="20"/>
              </w:rPr>
            </w:pPr>
            <w:r>
              <w:rPr>
                <w:rFonts w:cs="Arial"/>
                <w:sz w:val="20"/>
                <w:szCs w:val="20"/>
              </w:rPr>
              <w:t>Melanie Tista</w:t>
            </w:r>
          </w:p>
        </w:tc>
        <w:tc>
          <w:tcPr>
            <w:tcW w:w="1695" w:type="dxa"/>
            <w:vAlign w:val="center"/>
          </w:tcPr>
          <w:p w:rsidR="00D866CE" w:rsidRPr="00F636E6" w:rsidRDefault="00D866CE" w:rsidP="00D866CE">
            <w:pPr>
              <w:spacing w:before="60" w:after="60"/>
              <w:rPr>
                <w:rFonts w:cs="Arial"/>
                <w:sz w:val="20"/>
                <w:szCs w:val="20"/>
              </w:rPr>
            </w:pPr>
            <w:r w:rsidRPr="00F636E6">
              <w:rPr>
                <w:rFonts w:cs="Arial"/>
                <w:sz w:val="20"/>
                <w:szCs w:val="20"/>
              </w:rPr>
              <w:t xml:space="preserve">Project team </w:t>
            </w:r>
          </w:p>
        </w:tc>
      </w:tr>
    </w:tbl>
    <w:p w:rsidR="00D866CE" w:rsidRPr="008F2045" w:rsidRDefault="00D866CE" w:rsidP="00D866CE"/>
    <w:p w:rsidR="00D866CE" w:rsidRPr="003B2E91" w:rsidRDefault="00D866CE" w:rsidP="00D866CE">
      <w:pPr>
        <w:pStyle w:val="Heading3Aether"/>
      </w:pPr>
      <w:bookmarkStart w:id="140" w:name="_Toc390425763"/>
      <w:bookmarkStart w:id="141" w:name="_Toc454531590"/>
      <w:bookmarkStart w:id="142" w:name="_Toc477868955"/>
      <w:bookmarkStart w:id="143" w:name="_Toc499631274"/>
      <w:r>
        <w:rPr>
          <w:lang w:val="en-GB"/>
        </w:rPr>
        <w:t xml:space="preserve">A2.1.2 </w:t>
      </w:r>
      <w:r w:rsidRPr="003B2E91">
        <w:t xml:space="preserve">Assessment of </w:t>
      </w:r>
      <w:r>
        <w:t>F</w:t>
      </w:r>
      <w:r w:rsidRPr="003B2E91">
        <w:t xml:space="preserve">ormal </w:t>
      </w:r>
      <w:bookmarkEnd w:id="135"/>
      <w:bookmarkEnd w:id="136"/>
      <w:bookmarkEnd w:id="140"/>
      <w:r>
        <w:t>Criteria</w:t>
      </w:r>
      <w:bookmarkEnd w:id="141"/>
      <w:bookmarkEnd w:id="142"/>
      <w:bookmarkEnd w:id="143"/>
    </w:p>
    <w:p w:rsidR="00D866CE" w:rsidRPr="002B3B71" w:rsidRDefault="00D866CE" w:rsidP="00D866CE">
      <w:pPr>
        <w:pStyle w:val="StandardNum"/>
        <w:ind w:left="142" w:right="284" w:firstLine="0"/>
      </w:pPr>
      <w:r w:rsidRPr="00772671">
        <w:rPr>
          <w:lang w:val="en-US"/>
        </w:rPr>
        <w:t xml:space="preserve">Austria </w:t>
      </w:r>
      <w:r w:rsidRPr="00772671">
        <w:t>notified the European Commission through the EIONET Central Data Repository</w:t>
      </w:r>
      <w:r w:rsidRPr="00950A75">
        <w:t xml:space="preserve"> </w:t>
      </w:r>
      <w:r>
        <w:t xml:space="preserve">(CDR) </w:t>
      </w:r>
      <w:r w:rsidRPr="00950A75">
        <w:t xml:space="preserve">partnership network </w:t>
      </w:r>
      <w:r>
        <w:t xml:space="preserve">of the EEA </w:t>
      </w:r>
      <w:r w:rsidRPr="00E737DC">
        <w:t xml:space="preserve">of its intention to apply for a new adjustment </w:t>
      </w:r>
      <w:r w:rsidRPr="002F18FF">
        <w:t xml:space="preserve">on </w:t>
      </w:r>
      <w:r>
        <w:t xml:space="preserve">15 </w:t>
      </w:r>
      <w:r w:rsidRPr="00772671">
        <w:t>February 2017. All supporting information requested by Directive 2016/2284, Article 5.1, Article</w:t>
      </w:r>
      <w:r w:rsidRPr="00C2146A">
        <w:t xml:space="preserve"> 8.4 and Annex IV, Part 4</w:t>
      </w:r>
      <w:r w:rsidRPr="00E737DC">
        <w:t xml:space="preserve"> was provided</w:t>
      </w:r>
      <w:r>
        <w:t xml:space="preserve"> </w:t>
      </w:r>
      <w:r w:rsidRPr="00E737DC">
        <w:t xml:space="preserve">as </w:t>
      </w:r>
      <w:r>
        <w:t>separate report</w:t>
      </w:r>
      <w:r w:rsidRPr="00E737DC">
        <w:t xml:space="preserve"> </w:t>
      </w:r>
      <w:r>
        <w:t xml:space="preserve">by the </w:t>
      </w:r>
      <w:r w:rsidRPr="00E737DC">
        <w:t>legal deadline of the 15 March of the same yea</w:t>
      </w:r>
      <w:r w:rsidRPr="00772671">
        <w:t>r</w:t>
      </w:r>
      <w:r w:rsidRPr="00D85057">
        <w:t>. No additional documentation</w:t>
      </w:r>
      <w:r w:rsidRPr="00E737DC">
        <w:t xml:space="preserve"> was provided during the review in response to </w:t>
      </w:r>
      <w:r w:rsidRPr="002B3B71">
        <w:t xml:space="preserve">requests from the </w:t>
      </w:r>
      <w:r>
        <w:t>TERT</w:t>
      </w:r>
      <w:r w:rsidR="00802162">
        <w:t xml:space="preserve">. Section A2.5 </w:t>
      </w:r>
      <w:r w:rsidRPr="00922224">
        <w:rPr>
          <w:lang w:val="en-US"/>
        </w:rPr>
        <w:t>lis</w:t>
      </w:r>
      <w:r w:rsidRPr="002B3B71">
        <w:rPr>
          <w:lang w:val="en-US"/>
        </w:rPr>
        <w:t xml:space="preserve">ts the documentation provided by </w:t>
      </w:r>
      <w:r>
        <w:rPr>
          <w:lang w:val="en-US"/>
        </w:rPr>
        <w:t>Austria</w:t>
      </w:r>
      <w:r w:rsidRPr="002B3B71">
        <w:rPr>
          <w:lang w:val="en-US"/>
        </w:rPr>
        <w:t>.</w:t>
      </w:r>
    </w:p>
    <w:p w:rsidR="00D866CE" w:rsidRDefault="00D866CE" w:rsidP="00D866CE">
      <w:pPr>
        <w:pStyle w:val="StandardNum"/>
        <w:ind w:left="142" w:right="284" w:firstLine="0"/>
        <w:rPr>
          <w:lang w:val="en-US"/>
        </w:rPr>
      </w:pPr>
      <w:r w:rsidRPr="00772671">
        <w:rPr>
          <w:lang w:val="en-US"/>
        </w:rPr>
        <w:t>Austria submitted an application for emissions adjustments to 2010-2015 for the pollutants</w:t>
      </w:r>
      <w:r>
        <w:rPr>
          <w:lang w:val="en-US"/>
        </w:rPr>
        <w:t xml:space="preserve"> and sectors indicated below:</w:t>
      </w:r>
    </w:p>
    <w:p w:rsidR="00D866CE" w:rsidRPr="00497C87" w:rsidRDefault="0057457C" w:rsidP="00D866CE">
      <w:pPr>
        <w:pStyle w:val="StandardNum"/>
        <w:numPr>
          <w:ilvl w:val="1"/>
          <w:numId w:val="3"/>
        </w:numPr>
        <w:ind w:right="284"/>
        <w:rPr>
          <w:lang w:val="fr-BE"/>
        </w:rPr>
      </w:pPr>
      <w:r w:rsidRPr="0057457C">
        <w:rPr>
          <w:lang w:val="en-US"/>
        </w:rPr>
        <w:t>NO</w:t>
      </w:r>
      <w:r w:rsidRPr="0057457C">
        <w:rPr>
          <w:vertAlign w:val="subscript"/>
          <w:lang w:val="en-US"/>
        </w:rPr>
        <w:t>X</w:t>
      </w:r>
      <w:r w:rsidR="00D866CE" w:rsidRPr="00246890">
        <w:rPr>
          <w:lang w:val="en-US"/>
        </w:rPr>
        <w:t xml:space="preserve"> – Road Transport</w:t>
      </w:r>
      <w:r w:rsidR="00D866CE" w:rsidRPr="00497C87">
        <w:rPr>
          <w:lang w:val="en-US"/>
        </w:rPr>
        <w:t>, 1A3bi-</w:t>
      </w:r>
      <w:r w:rsidR="00D866CE">
        <w:rPr>
          <w:lang w:val="en-US"/>
        </w:rPr>
        <w:t>iv</w:t>
      </w:r>
    </w:p>
    <w:p w:rsidR="00D866CE" w:rsidRPr="002B3B71" w:rsidRDefault="0057457C" w:rsidP="00D866CE">
      <w:pPr>
        <w:pStyle w:val="StandardNum"/>
        <w:numPr>
          <w:ilvl w:val="1"/>
          <w:numId w:val="3"/>
        </w:numPr>
        <w:ind w:right="284"/>
        <w:rPr>
          <w:lang w:val="en-US"/>
        </w:rPr>
      </w:pPr>
      <w:r w:rsidRPr="0057457C">
        <w:rPr>
          <w:lang w:val="fr-BE"/>
        </w:rPr>
        <w:t>NH</w:t>
      </w:r>
      <w:r w:rsidRPr="0057457C">
        <w:rPr>
          <w:vertAlign w:val="subscript"/>
          <w:lang w:val="fr-BE"/>
        </w:rPr>
        <w:t>3</w:t>
      </w:r>
      <w:r w:rsidR="00D866CE">
        <w:rPr>
          <w:lang w:val="fr-BE"/>
        </w:rPr>
        <w:t xml:space="preserve"> – Agriculture, </w:t>
      </w:r>
      <w:r w:rsidR="00D866CE" w:rsidRPr="00772671">
        <w:rPr>
          <w:lang w:val="fr-BE"/>
        </w:rPr>
        <w:t>3Da2b</w:t>
      </w:r>
      <w:r w:rsidR="00D866CE">
        <w:rPr>
          <w:lang w:val="fr-BE"/>
        </w:rPr>
        <w:t>, 3Da2c</w:t>
      </w:r>
    </w:p>
    <w:p w:rsidR="00D866CE" w:rsidRPr="00794535" w:rsidRDefault="00D866CE" w:rsidP="00D866CE">
      <w:pPr>
        <w:pStyle w:val="StandardNum"/>
        <w:ind w:left="142" w:right="284" w:firstLine="0"/>
      </w:pPr>
      <w:r w:rsidRPr="00385CFD">
        <w:rPr>
          <w:lang w:val="en-US"/>
        </w:rPr>
        <w:t>Austria</w:t>
      </w:r>
      <w:r w:rsidRPr="00385CFD">
        <w:t xml:space="preserve"> provided information on exceedance of emission ceilings</w:t>
      </w:r>
      <w:r w:rsidRPr="00385CFD">
        <w:rPr>
          <w:bCs w:val="0"/>
        </w:rPr>
        <w:t xml:space="preserve"> (Directive 2001/81/EC)</w:t>
      </w:r>
      <w:r w:rsidRPr="00385CFD">
        <w:t xml:space="preserve"> for</w:t>
      </w:r>
      <w:r>
        <w:t xml:space="preserve"> </w:t>
      </w:r>
      <w:r w:rsidR="0057457C" w:rsidRPr="0057457C">
        <w:t>NO</w:t>
      </w:r>
      <w:r w:rsidR="0057457C" w:rsidRPr="0057457C">
        <w:rPr>
          <w:vertAlign w:val="subscript"/>
        </w:rPr>
        <w:t>X</w:t>
      </w:r>
      <w:r>
        <w:t xml:space="preserve"> and </w:t>
      </w:r>
      <w:r w:rsidR="0057457C" w:rsidRPr="0057457C">
        <w:t>NH</w:t>
      </w:r>
      <w:r w:rsidR="0057457C" w:rsidRPr="0057457C">
        <w:rPr>
          <w:vertAlign w:val="subscript"/>
        </w:rPr>
        <w:t>3</w:t>
      </w:r>
      <w:r>
        <w:t xml:space="preserve"> from 2010 to 2015.</w:t>
      </w:r>
    </w:p>
    <w:p w:rsidR="00D866CE" w:rsidRPr="007E537E" w:rsidRDefault="00D866CE" w:rsidP="00D866CE">
      <w:pPr>
        <w:pStyle w:val="StandardNum"/>
        <w:ind w:left="142" w:right="284" w:firstLine="0"/>
      </w:pPr>
      <w:r w:rsidRPr="00385CFD">
        <w:t>Austria provided information on the impact of the adjustment to its emission inventory,</w:t>
      </w:r>
      <w:r w:rsidRPr="00C33D51">
        <w:t xml:space="preserve"> and the extent to which it would reduce the current exceedance and possibly </w:t>
      </w:r>
      <w:r w:rsidRPr="007E537E">
        <w:t>bring the Party in compliance with emission reduction commitments.</w:t>
      </w:r>
    </w:p>
    <w:p w:rsidR="00D866CE" w:rsidRPr="00385CFD" w:rsidRDefault="00D866CE" w:rsidP="00D866CE">
      <w:pPr>
        <w:pStyle w:val="StandardNum"/>
        <w:ind w:left="142" w:right="284" w:firstLine="0"/>
      </w:pPr>
      <w:r w:rsidRPr="00385CFD">
        <w:rPr>
          <w:lang w:val="en-US"/>
        </w:rPr>
        <w:t>Austria</w:t>
      </w:r>
      <w:r w:rsidRPr="00385CFD">
        <w:t xml:space="preserve"> included information on when it will meet its emission ceilings for </w:t>
      </w:r>
      <w:r w:rsidR="0057457C" w:rsidRPr="0057457C">
        <w:t>NO</w:t>
      </w:r>
      <w:r w:rsidR="0057457C" w:rsidRPr="0057457C">
        <w:rPr>
          <w:vertAlign w:val="subscript"/>
        </w:rPr>
        <w:t>X</w:t>
      </w:r>
      <w:r w:rsidRPr="00385CFD">
        <w:t xml:space="preserve"> and </w:t>
      </w:r>
      <w:r w:rsidR="0057457C" w:rsidRPr="0057457C">
        <w:t>NH</w:t>
      </w:r>
      <w:r w:rsidR="0057457C" w:rsidRPr="0057457C">
        <w:rPr>
          <w:vertAlign w:val="subscript"/>
        </w:rPr>
        <w:t>3</w:t>
      </w:r>
      <w:r w:rsidRPr="00385CFD">
        <w:t xml:space="preserve"> without the adjustment in the supporting documentation.</w:t>
      </w:r>
    </w:p>
    <w:p w:rsidR="00D866CE" w:rsidRPr="00385CFD" w:rsidRDefault="00D866CE" w:rsidP="00D866CE">
      <w:pPr>
        <w:pStyle w:val="StandardNum"/>
        <w:ind w:left="142" w:right="284" w:firstLine="0"/>
      </w:pPr>
      <w:r w:rsidRPr="00385CFD">
        <w:t xml:space="preserve">The adjustment application requires the provision of specific supporting information to demonstrate compliance with specific criteria (Directive 2016/2284, Annex IV, Part 4.1(d), and EB Decision 2012/3, para 6a-c as amended by EB Decision 2014/1, Annex, para 3). Austria provided supporting documentation and the reviewers have reviewed this information (see </w:t>
      </w:r>
      <w:r w:rsidR="00802162">
        <w:t>Section A2.5</w:t>
      </w:r>
      <w:r w:rsidRPr="00385CFD">
        <w:t xml:space="preserve">) with regard to these criteria. The reviewers considered the supporting information provided by </w:t>
      </w:r>
      <w:r>
        <w:t>Austria</w:t>
      </w:r>
      <w:r w:rsidRPr="00385CFD">
        <w:t xml:space="preserve"> to be complete.</w:t>
      </w:r>
    </w:p>
    <w:p w:rsidR="00D866CE" w:rsidRPr="00246890" w:rsidRDefault="00D866CE" w:rsidP="00D866CE">
      <w:pPr>
        <w:pStyle w:val="Heading2Aether"/>
      </w:pPr>
      <w:bookmarkStart w:id="144" w:name="_Toc423090244"/>
      <w:bookmarkStart w:id="145" w:name="_Toc425151206"/>
      <w:bookmarkStart w:id="146" w:name="_Toc454531591"/>
      <w:bookmarkStart w:id="147" w:name="_Toc477868956"/>
      <w:bookmarkStart w:id="148" w:name="_Ref488932055"/>
      <w:bookmarkStart w:id="149" w:name="_Toc499631275"/>
      <w:bookmarkStart w:id="150" w:name="_Toc390170808"/>
      <w:bookmarkStart w:id="151" w:name="_Toc390170865"/>
      <w:r>
        <w:rPr>
          <w:lang w:val="en-US"/>
        </w:rPr>
        <w:lastRenderedPageBreak/>
        <w:t xml:space="preserve">A2.2 </w:t>
      </w:r>
      <w:r w:rsidRPr="00246890">
        <w:rPr>
          <w:lang w:val="en-US"/>
        </w:rPr>
        <w:t xml:space="preserve">Road Transport, 1A3bi-iv </w:t>
      </w:r>
      <w:r w:rsidRPr="00246890">
        <w:t>(</w:t>
      </w:r>
      <w:r w:rsidR="0057457C" w:rsidRPr="0057457C">
        <w:t>NO</w:t>
      </w:r>
      <w:r w:rsidR="0057457C" w:rsidRPr="0057457C">
        <w:rPr>
          <w:vertAlign w:val="subscript"/>
        </w:rPr>
        <w:t>X</w:t>
      </w:r>
      <w:r w:rsidRPr="00246890">
        <w:t>)</w:t>
      </w:r>
      <w:bookmarkEnd w:id="144"/>
      <w:bookmarkEnd w:id="145"/>
      <w:bookmarkEnd w:id="146"/>
      <w:bookmarkEnd w:id="147"/>
      <w:bookmarkEnd w:id="148"/>
      <w:bookmarkEnd w:id="149"/>
    </w:p>
    <w:p w:rsidR="00D866CE" w:rsidRPr="003B2E91" w:rsidRDefault="00D866CE" w:rsidP="00D866CE">
      <w:pPr>
        <w:pStyle w:val="Heading3Aether"/>
      </w:pPr>
      <w:bookmarkStart w:id="152" w:name="_Toc425151207"/>
      <w:bookmarkStart w:id="153" w:name="_Toc454531592"/>
      <w:bookmarkStart w:id="154" w:name="_Toc477868957"/>
      <w:bookmarkStart w:id="155" w:name="_Toc499631276"/>
      <w:r>
        <w:rPr>
          <w:lang w:val="en-GB"/>
        </w:rPr>
        <w:t xml:space="preserve">A2.2.1 </w:t>
      </w:r>
      <w:r w:rsidRPr="000B2326">
        <w:t xml:space="preserve">Assessment of </w:t>
      </w:r>
      <w:r>
        <w:t xml:space="preserve">Consistency </w:t>
      </w:r>
      <w:r w:rsidRPr="000B2326">
        <w:t>with</w:t>
      </w:r>
      <w:r>
        <w:t xml:space="preserve"> Requirements </w:t>
      </w:r>
      <w:r w:rsidRPr="003B2E91">
        <w:t>of</w:t>
      </w:r>
      <w:r>
        <w:t xml:space="preserve"> the NECD (</w:t>
      </w:r>
      <w:r w:rsidRPr="00A55938">
        <w:t>2016/2284</w:t>
      </w:r>
      <w:r>
        <w:t>) and M</w:t>
      </w:r>
      <w:r w:rsidRPr="00A55938">
        <w:t>ethodologies adopted by Parties to the LRTAP Convention</w:t>
      </w:r>
      <w:r>
        <w:t>, EB</w:t>
      </w:r>
      <w:r w:rsidRPr="003B2E91">
        <w:t xml:space="preserve"> </w:t>
      </w:r>
      <w:r>
        <w:t xml:space="preserve">Decision </w:t>
      </w:r>
      <w:r w:rsidRPr="003B2E91">
        <w:t xml:space="preserve">2012/3 </w:t>
      </w:r>
      <w:r>
        <w:t>as amended by EB Decision 2014/1, EB</w:t>
      </w:r>
      <w:r w:rsidRPr="003B2E91">
        <w:t xml:space="preserve"> </w:t>
      </w:r>
      <w:r>
        <w:t xml:space="preserve">Decision </w:t>
      </w:r>
      <w:r w:rsidRPr="003B2E91">
        <w:t xml:space="preserve">2012/3 </w:t>
      </w:r>
      <w:r>
        <w:t>as amended by EB Decision 2014/1</w:t>
      </w:r>
      <w:bookmarkEnd w:id="152"/>
      <w:bookmarkEnd w:id="153"/>
      <w:bookmarkEnd w:id="154"/>
      <w:bookmarkEnd w:id="155"/>
    </w:p>
    <w:p w:rsidR="00D866CE" w:rsidRPr="001741A7" w:rsidRDefault="00D866CE" w:rsidP="00D866CE">
      <w:pPr>
        <w:pStyle w:val="StandardNum"/>
        <w:ind w:left="142" w:right="284" w:firstLine="0"/>
        <w:rPr>
          <w:lang w:val="en-US"/>
        </w:rPr>
      </w:pPr>
      <w:r>
        <w:t>Austria</w:t>
      </w:r>
      <w:r w:rsidRPr="003A6509">
        <w:t xml:space="preserve"> </w:t>
      </w:r>
      <w:r w:rsidRPr="001741A7">
        <w:rPr>
          <w:lang w:val="en-US"/>
        </w:rPr>
        <w:t xml:space="preserve">made an application based on </w:t>
      </w:r>
      <w:r>
        <w:rPr>
          <w:lang w:val="en-US"/>
        </w:rPr>
        <w:t>criteria: “</w:t>
      </w:r>
      <w:r w:rsidRPr="002821BF">
        <w:rPr>
          <w:i/>
          <w:lang w:val="en-US"/>
        </w:rPr>
        <w:t>significantly different methodologies</w:t>
      </w:r>
      <w:r>
        <w:rPr>
          <w:lang w:val="en-US"/>
        </w:rPr>
        <w:t>”</w:t>
      </w:r>
      <w:r w:rsidRPr="001741A7">
        <w:rPr>
          <w:lang w:val="en-US"/>
        </w:rPr>
        <w:t>.</w:t>
      </w:r>
    </w:p>
    <w:p w:rsidR="00D866CE" w:rsidRPr="001848AE" w:rsidRDefault="00D866CE" w:rsidP="00D866CE">
      <w:pPr>
        <w:pStyle w:val="StandardNum"/>
        <w:ind w:left="142" w:right="284" w:firstLine="0"/>
      </w:pPr>
      <w:r w:rsidRPr="001848AE">
        <w:t xml:space="preserve">The </w:t>
      </w:r>
      <w:r>
        <w:t>revi</w:t>
      </w:r>
      <w:r w:rsidRPr="00802162">
        <w:t xml:space="preserve">ewers studied the documentation that was provided to support the application (listed </w:t>
      </w:r>
      <w:r w:rsidR="00802162" w:rsidRPr="00802162">
        <w:t>in Section A2.5</w:t>
      </w:r>
      <w:r w:rsidRPr="00802162">
        <w:t>).</w:t>
      </w:r>
    </w:p>
    <w:p w:rsidR="00D866CE" w:rsidRPr="001848AE" w:rsidRDefault="00D866CE" w:rsidP="00D866CE">
      <w:pPr>
        <w:pStyle w:val="StandardNum"/>
        <w:ind w:left="142" w:right="284" w:firstLine="0"/>
      </w:pPr>
      <w:r w:rsidRPr="001848AE">
        <w:t xml:space="preserve">The supporting </w:t>
      </w:r>
      <w:r w:rsidRPr="00AB3C3E">
        <w:t>information provided by Austria clearly presented the adjustment totals, and the method of calculation was transparent</w:t>
      </w:r>
      <w:r w:rsidRPr="001848AE">
        <w:t>.</w:t>
      </w:r>
    </w:p>
    <w:p w:rsidR="00D866CE" w:rsidRPr="00580EB9" w:rsidRDefault="00D866CE" w:rsidP="00D866CE">
      <w:pPr>
        <w:pStyle w:val="Heading3Aether"/>
      </w:pPr>
      <w:bookmarkStart w:id="156" w:name="_Toc425151208"/>
      <w:bookmarkStart w:id="157" w:name="_Toc454531593"/>
      <w:bookmarkStart w:id="158" w:name="_Toc477868958"/>
      <w:bookmarkStart w:id="159" w:name="_Toc499631277"/>
      <w:r>
        <w:rPr>
          <w:lang w:val="en-GB"/>
        </w:rPr>
        <w:t xml:space="preserve">A2.2.2 </w:t>
      </w:r>
      <w:r w:rsidRPr="00580EB9">
        <w:t>Assessment of the Quantification of the Impact of the Revision</w:t>
      </w:r>
      <w:bookmarkEnd w:id="156"/>
      <w:bookmarkEnd w:id="157"/>
      <w:bookmarkEnd w:id="158"/>
      <w:bookmarkEnd w:id="159"/>
    </w:p>
    <w:p w:rsidR="00D866CE" w:rsidRPr="001848AE" w:rsidRDefault="00D866CE" w:rsidP="00D866CE">
      <w:pPr>
        <w:pStyle w:val="StandardNum"/>
        <w:ind w:left="142" w:right="284" w:firstLine="0"/>
      </w:pPr>
      <w:r w:rsidRPr="001848AE">
        <w:t xml:space="preserve">The adjustment application process requires that </w:t>
      </w:r>
      <w:r>
        <w:t>Austria</w:t>
      </w:r>
      <w:r w:rsidRPr="001848AE">
        <w:t xml:space="preserve"> submit</w:t>
      </w:r>
      <w:r>
        <w:t>s</w:t>
      </w:r>
      <w:r w:rsidRPr="001848AE">
        <w:t xml:space="preserve"> a quantification of the impact of the adjustment for which an application has been submitted.</w:t>
      </w:r>
      <w:r w:rsidRPr="001848AE" w:rsidDel="006D1AF8">
        <w:t xml:space="preserve"> </w:t>
      </w:r>
      <w:r w:rsidRPr="00D20AD2">
        <w:fldChar w:fldCharType="begin"/>
      </w:r>
      <w:r w:rsidRPr="00D20AD2">
        <w:instrText xml:space="preserve"> REF _Ref488930318 \h  \* MERGEFORMAT </w:instrText>
      </w:r>
      <w:r w:rsidRPr="00D20AD2">
        <w:fldChar w:fldCharType="separate"/>
      </w:r>
      <w:r w:rsidR="00C07297" w:rsidRPr="00C07297">
        <w:t>Table A2. 8</w:t>
      </w:r>
      <w:r w:rsidRPr="00D20AD2">
        <w:fldChar w:fldCharType="end"/>
      </w:r>
      <w:r>
        <w:t xml:space="preserve"> </w:t>
      </w:r>
      <w:r w:rsidRPr="001848AE">
        <w:t xml:space="preserve">provides an overview of the </w:t>
      </w:r>
      <w:r w:rsidR="0057457C" w:rsidRPr="0057457C">
        <w:t>NO</w:t>
      </w:r>
      <w:r w:rsidR="0057457C" w:rsidRPr="0057457C">
        <w:rPr>
          <w:vertAlign w:val="subscript"/>
        </w:rPr>
        <w:t>X</w:t>
      </w:r>
      <w:r w:rsidRPr="001848AE">
        <w:t xml:space="preserve"> adjustment applications of </w:t>
      </w:r>
      <w:r>
        <w:t>Austria</w:t>
      </w:r>
      <w:r w:rsidRPr="001848AE">
        <w:t xml:space="preserve"> in the </w:t>
      </w:r>
      <w:r>
        <w:t>Transport</w:t>
      </w:r>
      <w:r w:rsidRPr="001848AE">
        <w:t xml:space="preserve"> sector</w:t>
      </w:r>
      <w:r>
        <w:t>.</w:t>
      </w:r>
    </w:p>
    <w:p w:rsidR="00D866CE" w:rsidRPr="00D20AD2" w:rsidRDefault="00D866CE" w:rsidP="00D866CE">
      <w:pPr>
        <w:rPr>
          <w:b/>
        </w:rPr>
      </w:pPr>
      <w:bookmarkStart w:id="160" w:name="_Ref488930318"/>
      <w:bookmarkStart w:id="161" w:name="_Toc499631321"/>
      <w:r w:rsidRPr="00D20AD2">
        <w:rPr>
          <w:b/>
        </w:rPr>
        <w:t>Table</w:t>
      </w:r>
      <w:r>
        <w:rPr>
          <w:b/>
        </w:rPr>
        <w:t xml:space="preserve"> A2.</w:t>
      </w:r>
      <w:r w:rsidRPr="00D20AD2">
        <w:rPr>
          <w:b/>
        </w:rPr>
        <w:t xml:space="preserve"> </w:t>
      </w:r>
      <w:r w:rsidRPr="00D20AD2">
        <w:rPr>
          <w:b/>
        </w:rPr>
        <w:fldChar w:fldCharType="begin"/>
      </w:r>
      <w:r w:rsidRPr="00D20AD2">
        <w:rPr>
          <w:b/>
        </w:rPr>
        <w:instrText xml:space="preserve"> SEQ Table \* ARABIC </w:instrText>
      </w:r>
      <w:r w:rsidRPr="00D20AD2">
        <w:rPr>
          <w:b/>
        </w:rPr>
        <w:fldChar w:fldCharType="separate"/>
      </w:r>
      <w:r w:rsidR="00C07297">
        <w:rPr>
          <w:b/>
          <w:noProof/>
        </w:rPr>
        <w:t>8</w:t>
      </w:r>
      <w:r w:rsidRPr="00D20AD2">
        <w:rPr>
          <w:b/>
        </w:rPr>
        <w:fldChar w:fldCharType="end"/>
      </w:r>
      <w:bookmarkEnd w:id="160"/>
      <w:r w:rsidRPr="00D20AD2">
        <w:rPr>
          <w:b/>
        </w:rPr>
        <w:t xml:space="preserve"> Austria’s </w:t>
      </w:r>
      <w:r w:rsidR="0057457C" w:rsidRPr="0057457C">
        <w:rPr>
          <w:b/>
        </w:rPr>
        <w:t>NO</w:t>
      </w:r>
      <w:r w:rsidR="0057457C" w:rsidRPr="0057457C">
        <w:rPr>
          <w:b/>
          <w:vertAlign w:val="subscript"/>
        </w:rPr>
        <w:t>X</w:t>
      </w:r>
      <w:r w:rsidRPr="00D20AD2">
        <w:rPr>
          <w:b/>
        </w:rPr>
        <w:t xml:space="preserve"> Adjustment Applications for </w:t>
      </w:r>
      <w:r>
        <w:rPr>
          <w:b/>
        </w:rPr>
        <w:t>Road Transport, 2010-2015</w:t>
      </w:r>
      <w:bookmarkEnd w:id="161"/>
      <w:r>
        <w:rPr>
          <w:b/>
        </w:rPr>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056"/>
        <w:gridCol w:w="926"/>
        <w:gridCol w:w="794"/>
        <w:gridCol w:w="795"/>
        <w:gridCol w:w="794"/>
        <w:gridCol w:w="795"/>
        <w:gridCol w:w="794"/>
        <w:gridCol w:w="803"/>
        <w:gridCol w:w="802"/>
      </w:tblGrid>
      <w:tr w:rsidR="00D866CE" w:rsidRPr="001848AE" w:rsidTr="00D866CE">
        <w:trPr>
          <w:trHeight w:val="77"/>
        </w:trPr>
        <w:tc>
          <w:tcPr>
            <w:tcW w:w="1508" w:type="dxa"/>
            <w:shd w:val="clear" w:color="000000" w:fill="D9D9D9"/>
            <w:tcMar>
              <w:left w:w="57" w:type="dxa"/>
              <w:right w:w="57" w:type="dxa"/>
            </w:tcMar>
            <w:hideMark/>
          </w:tcPr>
          <w:p w:rsidR="00D866CE" w:rsidRPr="001848AE" w:rsidRDefault="00D866CE" w:rsidP="00D866CE">
            <w:pPr>
              <w:spacing w:line="240" w:lineRule="auto"/>
              <w:rPr>
                <w:rFonts w:eastAsia="Times New Roman" w:cs="Arial"/>
                <w:b/>
                <w:bCs/>
                <w:sz w:val="20"/>
                <w:szCs w:val="20"/>
                <w:lang w:eastAsia="en-GB"/>
              </w:rPr>
            </w:pPr>
            <w:r w:rsidRPr="001848AE">
              <w:rPr>
                <w:rFonts w:eastAsia="Times New Roman" w:cs="Arial"/>
                <w:b/>
                <w:bCs/>
                <w:sz w:val="20"/>
                <w:szCs w:val="20"/>
                <w:lang w:eastAsia="en-GB"/>
              </w:rPr>
              <w:t>Reference number</w:t>
            </w:r>
          </w:p>
        </w:tc>
        <w:tc>
          <w:tcPr>
            <w:tcW w:w="1134"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Pollutant</w:t>
            </w:r>
          </w:p>
        </w:tc>
        <w:tc>
          <w:tcPr>
            <w:tcW w:w="993"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NFR</w:t>
            </w:r>
            <w:r>
              <w:rPr>
                <w:rFonts w:eastAsia="Times New Roman" w:cs="Arial"/>
                <w:b/>
                <w:bCs/>
                <w:sz w:val="20"/>
                <w:szCs w:val="20"/>
                <w:lang w:eastAsia="en-GB"/>
              </w:rPr>
              <w:t>14</w:t>
            </w:r>
          </w:p>
        </w:tc>
        <w:tc>
          <w:tcPr>
            <w:tcW w:w="850"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unit</w:t>
            </w:r>
          </w:p>
        </w:tc>
        <w:tc>
          <w:tcPr>
            <w:tcW w:w="851"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2010</w:t>
            </w:r>
          </w:p>
        </w:tc>
        <w:tc>
          <w:tcPr>
            <w:tcW w:w="850"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2011</w:t>
            </w:r>
          </w:p>
        </w:tc>
        <w:tc>
          <w:tcPr>
            <w:tcW w:w="851"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2012</w:t>
            </w:r>
          </w:p>
        </w:tc>
        <w:tc>
          <w:tcPr>
            <w:tcW w:w="850" w:type="dxa"/>
            <w:shd w:val="clear" w:color="000000" w:fill="D9D9D9"/>
            <w:tcMar>
              <w:left w:w="57" w:type="dxa"/>
              <w:right w:w="57" w:type="dxa"/>
            </w:tcMar>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2013</w:t>
            </w:r>
          </w:p>
        </w:tc>
        <w:tc>
          <w:tcPr>
            <w:tcW w:w="851" w:type="dxa"/>
            <w:shd w:val="clear" w:color="000000" w:fill="D9D9D9"/>
          </w:tcPr>
          <w:p w:rsidR="00D866CE" w:rsidRPr="001848AE" w:rsidRDefault="00D866CE" w:rsidP="00D866CE">
            <w:pPr>
              <w:spacing w:after="0" w:line="240" w:lineRule="auto"/>
              <w:rPr>
                <w:rFonts w:eastAsia="Times New Roman" w:cs="Arial"/>
                <w:b/>
                <w:bCs/>
                <w:sz w:val="20"/>
                <w:szCs w:val="20"/>
                <w:lang w:eastAsia="en-GB"/>
              </w:rPr>
            </w:pPr>
            <w:r>
              <w:rPr>
                <w:rFonts w:eastAsia="Times New Roman" w:cs="Arial"/>
                <w:b/>
                <w:bCs/>
                <w:sz w:val="20"/>
                <w:szCs w:val="20"/>
                <w:lang w:eastAsia="en-GB"/>
              </w:rPr>
              <w:t>2014</w:t>
            </w:r>
          </w:p>
        </w:tc>
        <w:tc>
          <w:tcPr>
            <w:tcW w:w="850" w:type="dxa"/>
            <w:shd w:val="clear" w:color="000000" w:fill="D9D9D9"/>
          </w:tcPr>
          <w:p w:rsidR="00D866CE" w:rsidRDefault="00D866CE" w:rsidP="00D866CE">
            <w:pPr>
              <w:spacing w:after="0" w:line="240" w:lineRule="auto"/>
              <w:rPr>
                <w:rFonts w:eastAsia="Times New Roman" w:cs="Arial"/>
                <w:b/>
                <w:bCs/>
                <w:sz w:val="20"/>
                <w:szCs w:val="20"/>
                <w:lang w:eastAsia="en-GB"/>
              </w:rPr>
            </w:pPr>
            <w:r>
              <w:rPr>
                <w:rFonts w:eastAsia="Times New Roman" w:cs="Arial"/>
                <w:b/>
                <w:bCs/>
                <w:sz w:val="20"/>
                <w:szCs w:val="20"/>
                <w:lang w:eastAsia="en-GB"/>
              </w:rPr>
              <w:t>2015</w:t>
            </w:r>
          </w:p>
        </w:tc>
      </w:tr>
      <w:tr w:rsidR="00D866CE" w:rsidRPr="00D20AD2" w:rsidTr="00D866CE">
        <w:trPr>
          <w:trHeight w:val="300"/>
        </w:trPr>
        <w:tc>
          <w:tcPr>
            <w:tcW w:w="1508"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1</w:t>
            </w:r>
          </w:p>
        </w:tc>
        <w:tc>
          <w:tcPr>
            <w:tcW w:w="1134" w:type="dxa"/>
            <w:shd w:val="clear" w:color="000000" w:fill="FFFFFF"/>
            <w:tcMar>
              <w:left w:w="57" w:type="dxa"/>
              <w:right w:w="57" w:type="dxa"/>
            </w:tcMar>
            <w:vAlign w:val="bottom"/>
          </w:tcPr>
          <w:p w:rsidR="00D866CE" w:rsidRPr="00D20AD2" w:rsidRDefault="0057457C" w:rsidP="00D866CE">
            <w:pPr>
              <w:spacing w:line="240" w:lineRule="auto"/>
              <w:rPr>
                <w:rFonts w:eastAsia="Times New Roman" w:cs="Arial"/>
                <w:sz w:val="20"/>
                <w:szCs w:val="20"/>
                <w:lang w:eastAsia="en-GB"/>
              </w:rPr>
            </w:pPr>
            <w:r w:rsidRPr="0057457C">
              <w:rPr>
                <w:rFonts w:eastAsia="Times New Roman" w:cs="Arial"/>
                <w:sz w:val="20"/>
                <w:szCs w:val="20"/>
                <w:lang w:eastAsia="en-GB"/>
              </w:rPr>
              <w:t>NO</w:t>
            </w:r>
            <w:r w:rsidRPr="0057457C">
              <w:rPr>
                <w:rFonts w:eastAsia="Times New Roman" w:cs="Arial"/>
                <w:sz w:val="20"/>
                <w:szCs w:val="20"/>
                <w:vertAlign w:val="subscript"/>
                <w:lang w:eastAsia="en-GB"/>
              </w:rPr>
              <w:t>X</w:t>
            </w:r>
          </w:p>
        </w:tc>
        <w:tc>
          <w:tcPr>
            <w:tcW w:w="993"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1A3b</w:t>
            </w:r>
            <w:r>
              <w:rPr>
                <w:rFonts w:eastAsia="Times New Roman" w:cs="Arial"/>
                <w:sz w:val="20"/>
                <w:szCs w:val="20"/>
                <w:lang w:eastAsia="en-GB"/>
              </w:rPr>
              <w:t>i-iv</w:t>
            </w:r>
          </w:p>
        </w:tc>
        <w:tc>
          <w:tcPr>
            <w:tcW w:w="850"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kt</w:t>
            </w:r>
          </w:p>
        </w:tc>
        <w:tc>
          <w:tcPr>
            <w:tcW w:w="851"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-26.35</w:t>
            </w:r>
          </w:p>
        </w:tc>
        <w:tc>
          <w:tcPr>
            <w:tcW w:w="850"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-27.60</w:t>
            </w:r>
          </w:p>
        </w:tc>
        <w:tc>
          <w:tcPr>
            <w:tcW w:w="851"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-28.28</w:t>
            </w:r>
          </w:p>
        </w:tc>
        <w:tc>
          <w:tcPr>
            <w:tcW w:w="850"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-28.74</w:t>
            </w:r>
          </w:p>
        </w:tc>
        <w:tc>
          <w:tcPr>
            <w:tcW w:w="851" w:type="dxa"/>
            <w:shd w:val="clear" w:color="000000" w:fill="FFFFFF"/>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-29.07</w:t>
            </w:r>
          </w:p>
        </w:tc>
        <w:tc>
          <w:tcPr>
            <w:tcW w:w="850" w:type="dxa"/>
            <w:shd w:val="clear" w:color="000000" w:fill="FFFFFF"/>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-27.55</w:t>
            </w:r>
          </w:p>
        </w:tc>
      </w:tr>
      <w:tr w:rsidR="00D866CE" w:rsidRPr="001848AE" w:rsidTr="00D866CE">
        <w:trPr>
          <w:trHeight w:val="300"/>
        </w:trPr>
        <w:tc>
          <w:tcPr>
            <w:tcW w:w="1508" w:type="dxa"/>
            <w:tcBorders>
              <w:bottom w:val="single" w:sz="4" w:space="0" w:color="auto"/>
            </w:tcBorders>
            <w:shd w:val="clear" w:color="auto" w:fill="auto"/>
            <w:tcMar>
              <w:left w:w="57" w:type="dxa"/>
              <w:right w:w="57" w:type="dxa"/>
            </w:tcMar>
          </w:tcPr>
          <w:p w:rsidR="00D866CE" w:rsidRPr="00D20AD2" w:rsidRDefault="00D866CE" w:rsidP="00D866CE">
            <w:pPr>
              <w:spacing w:line="240" w:lineRule="auto"/>
              <w:rPr>
                <w:rFonts w:eastAsia="Times New Roman" w:cs="Arial"/>
                <w:b/>
                <w:sz w:val="20"/>
                <w:szCs w:val="20"/>
                <w:lang w:eastAsia="en-GB"/>
              </w:rPr>
            </w:pPr>
          </w:p>
        </w:tc>
        <w:tc>
          <w:tcPr>
            <w:tcW w:w="1134" w:type="dxa"/>
            <w:tcBorders>
              <w:bottom w:val="single" w:sz="4" w:space="0" w:color="auto"/>
            </w:tcBorders>
            <w:shd w:val="clear" w:color="auto" w:fill="auto"/>
            <w:tcMar>
              <w:left w:w="57" w:type="dxa"/>
              <w:right w:w="57" w:type="dxa"/>
            </w:tcMar>
          </w:tcPr>
          <w:p w:rsidR="00D866CE" w:rsidRPr="00D20AD2" w:rsidRDefault="0057457C" w:rsidP="00D866CE">
            <w:pPr>
              <w:spacing w:after="0" w:line="240" w:lineRule="auto"/>
              <w:rPr>
                <w:rFonts w:eastAsia="Times New Roman" w:cs="Arial"/>
                <w:b/>
                <w:sz w:val="20"/>
                <w:szCs w:val="20"/>
                <w:lang w:eastAsia="en-GB"/>
              </w:rPr>
            </w:pPr>
            <w:r w:rsidRPr="0057457C">
              <w:rPr>
                <w:rFonts w:eastAsia="Times New Roman" w:cs="Arial"/>
                <w:b/>
                <w:sz w:val="20"/>
                <w:szCs w:val="20"/>
                <w:lang w:eastAsia="en-GB"/>
              </w:rPr>
              <w:t>NO</w:t>
            </w:r>
            <w:r w:rsidRPr="0057457C">
              <w:rPr>
                <w:rFonts w:eastAsia="Times New Roman" w:cs="Arial"/>
                <w:b/>
                <w:sz w:val="20"/>
                <w:szCs w:val="20"/>
                <w:vertAlign w:val="subscript"/>
                <w:lang w:eastAsia="en-GB"/>
              </w:rPr>
              <w:t>X</w:t>
            </w:r>
          </w:p>
        </w:tc>
        <w:tc>
          <w:tcPr>
            <w:tcW w:w="993" w:type="dxa"/>
            <w:tcBorders>
              <w:bottom w:val="single" w:sz="4" w:space="0" w:color="auto"/>
            </w:tcBorders>
            <w:shd w:val="clear" w:color="auto" w:fill="auto"/>
            <w:tcMar>
              <w:left w:w="57" w:type="dxa"/>
              <w:right w:w="57" w:type="dxa"/>
            </w:tcMar>
          </w:tcPr>
          <w:p w:rsidR="00D866CE" w:rsidRPr="00D20AD2" w:rsidRDefault="00D866CE" w:rsidP="00D866CE">
            <w:pPr>
              <w:spacing w:after="0" w:line="240" w:lineRule="auto"/>
              <w:rPr>
                <w:rFonts w:eastAsia="Times New Roman" w:cs="Arial"/>
                <w:b/>
                <w:sz w:val="20"/>
                <w:szCs w:val="20"/>
                <w:lang w:eastAsia="en-GB"/>
              </w:rPr>
            </w:pPr>
            <w:r w:rsidRPr="00D20AD2">
              <w:rPr>
                <w:rFonts w:eastAsia="Times New Roman" w:cs="Arial"/>
                <w:b/>
                <w:sz w:val="20"/>
                <w:szCs w:val="20"/>
                <w:lang w:eastAsia="en-GB"/>
              </w:rPr>
              <w:t>Total</w:t>
            </w:r>
          </w:p>
        </w:tc>
        <w:tc>
          <w:tcPr>
            <w:tcW w:w="850" w:type="dxa"/>
            <w:tcBorders>
              <w:bottom w:val="single" w:sz="4" w:space="0" w:color="auto"/>
            </w:tcBorders>
            <w:shd w:val="clear" w:color="auto" w:fill="auto"/>
            <w:tcMar>
              <w:left w:w="57" w:type="dxa"/>
              <w:right w:w="57" w:type="dxa"/>
            </w:tcMar>
          </w:tcPr>
          <w:p w:rsidR="00D866CE" w:rsidRPr="00D20AD2" w:rsidRDefault="00D866CE" w:rsidP="00D866CE">
            <w:pPr>
              <w:spacing w:after="0" w:line="240" w:lineRule="auto"/>
              <w:rPr>
                <w:rFonts w:eastAsia="Times New Roman" w:cs="Arial"/>
                <w:b/>
                <w:sz w:val="20"/>
                <w:szCs w:val="20"/>
                <w:lang w:eastAsia="en-GB"/>
              </w:rPr>
            </w:pPr>
            <w:r w:rsidRPr="00D20AD2">
              <w:rPr>
                <w:rFonts w:eastAsia="Times New Roman" w:cs="Arial"/>
                <w:b/>
                <w:sz w:val="20"/>
                <w:szCs w:val="20"/>
                <w:lang w:eastAsia="en-GB"/>
              </w:rPr>
              <w:t xml:space="preserve">kt </w:t>
            </w:r>
          </w:p>
        </w:tc>
        <w:tc>
          <w:tcPr>
            <w:tcW w:w="851"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sidRPr="00D20AD2">
              <w:rPr>
                <w:rFonts w:eastAsia="Times New Roman" w:cs="Arial"/>
                <w:b/>
                <w:sz w:val="20"/>
                <w:szCs w:val="20"/>
                <w:lang w:eastAsia="en-GB"/>
              </w:rPr>
              <w:t>-26.35</w:t>
            </w:r>
          </w:p>
        </w:tc>
        <w:tc>
          <w:tcPr>
            <w:tcW w:w="850"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sidRPr="00D20AD2">
              <w:rPr>
                <w:rFonts w:eastAsia="Times New Roman" w:cs="Arial"/>
                <w:b/>
                <w:sz w:val="20"/>
                <w:szCs w:val="20"/>
                <w:lang w:eastAsia="en-GB"/>
              </w:rPr>
              <w:t>-27.60</w:t>
            </w:r>
          </w:p>
        </w:tc>
        <w:tc>
          <w:tcPr>
            <w:tcW w:w="851"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sidRPr="00D20AD2">
              <w:rPr>
                <w:rFonts w:eastAsia="Times New Roman" w:cs="Arial"/>
                <w:b/>
                <w:sz w:val="20"/>
                <w:szCs w:val="20"/>
                <w:lang w:eastAsia="en-GB"/>
              </w:rPr>
              <w:t>-28.28</w:t>
            </w:r>
          </w:p>
        </w:tc>
        <w:tc>
          <w:tcPr>
            <w:tcW w:w="850"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sidRPr="00D20AD2">
              <w:rPr>
                <w:rFonts w:eastAsia="Times New Roman" w:cs="Arial"/>
                <w:b/>
                <w:sz w:val="20"/>
                <w:szCs w:val="20"/>
                <w:lang w:eastAsia="en-GB"/>
              </w:rPr>
              <w:t>-28.74</w:t>
            </w:r>
          </w:p>
        </w:tc>
        <w:tc>
          <w:tcPr>
            <w:tcW w:w="851" w:type="dxa"/>
            <w:tcBorders>
              <w:bottom w:val="single" w:sz="4" w:space="0" w:color="auto"/>
            </w:tcBorders>
            <w:vAlign w:val="bottom"/>
          </w:tcPr>
          <w:p w:rsidR="00D866CE" w:rsidRPr="00D20AD2" w:rsidRDefault="00D866CE" w:rsidP="00D866CE">
            <w:pPr>
              <w:spacing w:line="240" w:lineRule="auto"/>
              <w:rPr>
                <w:rFonts w:eastAsia="Times New Roman" w:cs="Arial"/>
                <w:b/>
                <w:sz w:val="20"/>
                <w:szCs w:val="20"/>
                <w:lang w:eastAsia="en-GB"/>
              </w:rPr>
            </w:pPr>
            <w:r w:rsidRPr="00D20AD2">
              <w:rPr>
                <w:rFonts w:eastAsia="Times New Roman" w:cs="Arial"/>
                <w:b/>
                <w:sz w:val="20"/>
                <w:szCs w:val="20"/>
                <w:lang w:eastAsia="en-GB"/>
              </w:rPr>
              <w:t>-29.07</w:t>
            </w:r>
          </w:p>
        </w:tc>
        <w:tc>
          <w:tcPr>
            <w:tcW w:w="850" w:type="dxa"/>
            <w:tcBorders>
              <w:bottom w:val="single" w:sz="4" w:space="0" w:color="auto"/>
            </w:tcBorders>
            <w:vAlign w:val="bottom"/>
          </w:tcPr>
          <w:p w:rsidR="00D866CE" w:rsidRPr="00D20AD2" w:rsidRDefault="00D866CE" w:rsidP="00D866CE">
            <w:pPr>
              <w:spacing w:line="240" w:lineRule="auto"/>
              <w:rPr>
                <w:rFonts w:eastAsia="Times New Roman" w:cs="Arial"/>
                <w:b/>
                <w:sz w:val="20"/>
                <w:szCs w:val="20"/>
                <w:lang w:eastAsia="en-GB"/>
              </w:rPr>
            </w:pPr>
            <w:r w:rsidRPr="00D20AD2">
              <w:rPr>
                <w:rFonts w:eastAsia="Times New Roman" w:cs="Arial"/>
                <w:b/>
                <w:sz w:val="20"/>
                <w:szCs w:val="20"/>
                <w:lang w:eastAsia="en-GB"/>
              </w:rPr>
              <w:t>-27.55</w:t>
            </w:r>
          </w:p>
        </w:tc>
      </w:tr>
    </w:tbl>
    <w:p w:rsidR="00D866CE" w:rsidRPr="001848AE" w:rsidRDefault="00D866CE" w:rsidP="00D866CE">
      <w:pPr>
        <w:ind w:left="284" w:hanging="425"/>
      </w:pPr>
    </w:p>
    <w:p w:rsidR="00D866CE" w:rsidRPr="00AB3C3E" w:rsidRDefault="00D866CE" w:rsidP="00D866CE">
      <w:pPr>
        <w:pStyle w:val="StandardNum"/>
        <w:spacing w:line="276" w:lineRule="auto"/>
        <w:ind w:left="142" w:right="284" w:firstLine="0"/>
      </w:pPr>
      <w:r w:rsidRPr="00AB3C3E">
        <w:t>The reviewers concluded that the quantification of the recalculations, as calculated by Austria, included no calculation errors, and is in line with the most up-to-date available EMEP/EEA Inventory guidebook and scientific literature.</w:t>
      </w:r>
    </w:p>
    <w:p w:rsidR="00D866CE" w:rsidRPr="001848AE" w:rsidRDefault="00D866CE" w:rsidP="00D866CE">
      <w:pPr>
        <w:pStyle w:val="StandardNum"/>
        <w:spacing w:line="276" w:lineRule="auto"/>
        <w:ind w:left="142" w:right="284" w:firstLine="0"/>
      </w:pPr>
      <w:r w:rsidRPr="00264A7B">
        <w:t xml:space="preserve">In its application for an adjustment Austria indicated that its national totals of </w:t>
      </w:r>
      <w:r w:rsidR="0057457C" w:rsidRPr="0057457C">
        <w:t>NO</w:t>
      </w:r>
      <w:r w:rsidR="0057457C" w:rsidRPr="0057457C">
        <w:rPr>
          <w:vertAlign w:val="subscript"/>
        </w:rPr>
        <w:t>X</w:t>
      </w:r>
      <w:r w:rsidRPr="00264A7B">
        <w:t xml:space="preserve"> emissions would be below their ceilings in accordance with the NECD from 2012 onwards, if the</w:t>
      </w:r>
      <w:r w:rsidRPr="001848AE">
        <w:t xml:space="preserve"> proposed adjustments are accepted</w:t>
      </w:r>
      <w:r>
        <w:t>.</w:t>
      </w:r>
    </w:p>
    <w:p w:rsidR="00D866CE" w:rsidRDefault="00D866CE" w:rsidP="00D866CE">
      <w:pPr>
        <w:pStyle w:val="StandardNum"/>
        <w:spacing w:line="276" w:lineRule="auto"/>
        <w:ind w:left="142" w:right="284" w:firstLine="0"/>
      </w:pPr>
      <w:r>
        <w:t xml:space="preserve">The TERT concluded that </w:t>
      </w:r>
      <w:r w:rsidRPr="001848AE">
        <w:t xml:space="preserve">increased </w:t>
      </w:r>
      <w:r w:rsidRPr="00AB3C3E">
        <w:t xml:space="preserve">emissions </w:t>
      </w:r>
      <w:r w:rsidRPr="00AB3C3E">
        <w:rPr>
          <w:lang w:eastAsia="de-DE"/>
        </w:rPr>
        <w:t xml:space="preserve">are caused by the use of a significantly different methodology (and emission factors) currently used by Austria in the current inventory. </w:t>
      </w:r>
      <w:r w:rsidRPr="00AB3C3E">
        <w:t xml:space="preserve">The reviewers are therefore of the opinion that this is </w:t>
      </w:r>
      <w:r w:rsidRPr="002821BF">
        <w:rPr>
          <w:b/>
        </w:rPr>
        <w:t>a valid case for an adjustment</w:t>
      </w:r>
      <w:r w:rsidRPr="00AB3C3E">
        <w:t>.</w:t>
      </w:r>
    </w:p>
    <w:p w:rsidR="00D866CE" w:rsidRPr="00421B95" w:rsidRDefault="008E4D62" w:rsidP="008E4D62">
      <w:pPr>
        <w:pStyle w:val="Heading2Aether"/>
      </w:pPr>
      <w:bookmarkStart w:id="162" w:name="_Ref488932059"/>
      <w:bookmarkStart w:id="163" w:name="_Toc499631278"/>
      <w:r>
        <w:t xml:space="preserve">A2.3 </w:t>
      </w:r>
      <w:r w:rsidR="00D866CE" w:rsidRPr="00421B95">
        <w:t>Agriculture, 3Da2b</w:t>
      </w:r>
      <w:r w:rsidR="00D866CE">
        <w:t xml:space="preserve"> Sewage sludge applied to soils</w:t>
      </w:r>
      <w:r w:rsidR="00D866CE" w:rsidRPr="00421B95">
        <w:t xml:space="preserve">, 3Da2c </w:t>
      </w:r>
      <w:r w:rsidR="00D866CE">
        <w:t xml:space="preserve">Other organic fertilisers applied to soils </w:t>
      </w:r>
      <w:r w:rsidR="00D866CE" w:rsidRPr="00421B95">
        <w:t>(</w:t>
      </w:r>
      <w:r w:rsidR="0057457C" w:rsidRPr="0057457C">
        <w:t>NH</w:t>
      </w:r>
      <w:r w:rsidR="0057457C" w:rsidRPr="0057457C">
        <w:rPr>
          <w:vertAlign w:val="subscript"/>
        </w:rPr>
        <w:t>3</w:t>
      </w:r>
      <w:r w:rsidR="00D866CE" w:rsidRPr="00421B95">
        <w:t>)</w:t>
      </w:r>
      <w:bookmarkEnd w:id="162"/>
      <w:bookmarkEnd w:id="163"/>
    </w:p>
    <w:p w:rsidR="00D866CE" w:rsidRPr="003B2E91" w:rsidRDefault="008E4D62" w:rsidP="008E4D62">
      <w:pPr>
        <w:pStyle w:val="Heading3Aether"/>
      </w:pPr>
      <w:bookmarkStart w:id="164" w:name="_Toc499631279"/>
      <w:r>
        <w:rPr>
          <w:lang w:val="en-GB"/>
        </w:rPr>
        <w:t xml:space="preserve">A2.3.1 </w:t>
      </w:r>
      <w:r w:rsidR="00D866CE" w:rsidRPr="000B2326">
        <w:t xml:space="preserve">Assessment of </w:t>
      </w:r>
      <w:r w:rsidR="00D866CE">
        <w:t xml:space="preserve">Consistency </w:t>
      </w:r>
      <w:r w:rsidR="00D866CE" w:rsidRPr="000B2326">
        <w:t>with</w:t>
      </w:r>
      <w:r w:rsidR="00D866CE">
        <w:t xml:space="preserve"> Requirements </w:t>
      </w:r>
      <w:r w:rsidR="00D866CE" w:rsidRPr="003B2E91">
        <w:t>of</w:t>
      </w:r>
      <w:r w:rsidR="00D866CE">
        <w:t xml:space="preserve"> the NECD (</w:t>
      </w:r>
      <w:r w:rsidR="00D866CE" w:rsidRPr="00A55938">
        <w:t>2016/2284</w:t>
      </w:r>
      <w:r w:rsidR="00D866CE">
        <w:t>) and M</w:t>
      </w:r>
      <w:r w:rsidR="00D866CE" w:rsidRPr="00A55938">
        <w:t>ethodologies adopted by Parties to the LRTAP Convention</w:t>
      </w:r>
      <w:r w:rsidR="00D866CE">
        <w:t>, EB</w:t>
      </w:r>
      <w:r w:rsidR="00D866CE" w:rsidRPr="003B2E91">
        <w:t xml:space="preserve"> </w:t>
      </w:r>
      <w:r w:rsidR="00D866CE">
        <w:t xml:space="preserve">Decision </w:t>
      </w:r>
      <w:r w:rsidR="00D866CE" w:rsidRPr="003B2E91">
        <w:t xml:space="preserve">2012/3 </w:t>
      </w:r>
      <w:r w:rsidR="00D866CE">
        <w:t>as amended by EB Decision 2014/1, EB</w:t>
      </w:r>
      <w:r w:rsidR="00D866CE" w:rsidRPr="003B2E91">
        <w:t xml:space="preserve"> </w:t>
      </w:r>
      <w:r w:rsidR="00D866CE">
        <w:t xml:space="preserve">Decision </w:t>
      </w:r>
      <w:r w:rsidR="00D866CE" w:rsidRPr="003B2E91">
        <w:t xml:space="preserve">2012/3 </w:t>
      </w:r>
      <w:r w:rsidR="00D866CE">
        <w:t>as amended by EB Decision 2014/1</w:t>
      </w:r>
      <w:bookmarkEnd w:id="164"/>
    </w:p>
    <w:p w:rsidR="00D866CE" w:rsidRPr="00421B95" w:rsidRDefault="00D866CE" w:rsidP="00D866CE">
      <w:pPr>
        <w:pStyle w:val="StandardNum"/>
        <w:ind w:left="142" w:right="284" w:firstLine="0"/>
        <w:rPr>
          <w:lang w:val="en-US"/>
        </w:rPr>
      </w:pPr>
      <w:r w:rsidRPr="00421B95">
        <w:rPr>
          <w:lang w:val="en-US"/>
        </w:rPr>
        <w:t>Austria</w:t>
      </w:r>
      <w:r w:rsidRPr="00421B95">
        <w:t xml:space="preserve"> </w:t>
      </w:r>
      <w:r w:rsidRPr="00421B95">
        <w:rPr>
          <w:lang w:val="en-US"/>
        </w:rPr>
        <w:t>made an application based on criteria: “</w:t>
      </w:r>
      <w:r w:rsidRPr="002821BF">
        <w:rPr>
          <w:i/>
          <w:lang w:val="en-US"/>
        </w:rPr>
        <w:t>a new source”.</w:t>
      </w:r>
    </w:p>
    <w:p w:rsidR="00D866CE" w:rsidRPr="001D5CB5" w:rsidRDefault="00D866CE" w:rsidP="00D866CE">
      <w:pPr>
        <w:pStyle w:val="StandardNum"/>
        <w:ind w:left="142" w:right="284" w:firstLine="0"/>
      </w:pPr>
      <w:r w:rsidRPr="001D5CB5">
        <w:t xml:space="preserve">The reviewers noted that no methodologies for the estimation of </w:t>
      </w:r>
      <w:r w:rsidR="0057457C" w:rsidRPr="0057457C">
        <w:t>NH</w:t>
      </w:r>
      <w:r w:rsidR="0057457C" w:rsidRPr="0057457C">
        <w:rPr>
          <w:vertAlign w:val="subscript"/>
        </w:rPr>
        <w:t>3</w:t>
      </w:r>
      <w:r w:rsidRPr="001D5CB5">
        <w:t xml:space="preserve"> emissions from </w:t>
      </w:r>
      <w:r w:rsidRPr="002821BF">
        <w:rPr>
          <w:i/>
        </w:rPr>
        <w:t>Sewage sludge applied to soils, and Other organic fertilisers applied to soils</w:t>
      </w:r>
      <w:r w:rsidRPr="001D5CB5">
        <w:t xml:space="preserve"> (including compost) were included in the EMEP/CORINAR Inventory Guidebook 1999 and conclude that the provided supporting evidence does comply with the criteria presented in Decision 2012/3, and that the </w:t>
      </w:r>
      <w:r w:rsidRPr="001D5CB5">
        <w:lastRenderedPageBreak/>
        <w:t>circumstances on which the adjustment is based could not have been reasonably foreseen by the Party when the emission ceilings were established for 2010.</w:t>
      </w:r>
    </w:p>
    <w:p w:rsidR="00D866CE" w:rsidRPr="001848AE" w:rsidRDefault="00D866CE" w:rsidP="00D866CE">
      <w:pPr>
        <w:pStyle w:val="StandardNum"/>
        <w:ind w:left="142" w:right="284" w:firstLine="0"/>
      </w:pPr>
      <w:r w:rsidRPr="001848AE">
        <w:t xml:space="preserve">The </w:t>
      </w:r>
      <w:r>
        <w:t>reviewers</w:t>
      </w:r>
      <w:r w:rsidRPr="001848AE">
        <w:t xml:space="preserve"> </w:t>
      </w:r>
      <w:r>
        <w:t>studied</w:t>
      </w:r>
      <w:r w:rsidRPr="001848AE">
        <w:t xml:space="preserve"> the documentation that was provided to support the application (listed in </w:t>
      </w:r>
      <w:r w:rsidR="00802162" w:rsidRPr="00802162">
        <w:t>Section A2.5</w:t>
      </w:r>
      <w:r w:rsidRPr="00802162">
        <w:t>).</w:t>
      </w:r>
    </w:p>
    <w:p w:rsidR="00D866CE" w:rsidRPr="001848AE" w:rsidRDefault="00D866CE" w:rsidP="00D866CE">
      <w:pPr>
        <w:pStyle w:val="StandardNum"/>
        <w:ind w:left="142" w:right="284" w:firstLine="0"/>
      </w:pPr>
      <w:r w:rsidRPr="001848AE">
        <w:t xml:space="preserve">The supporting information provided </w:t>
      </w:r>
      <w:r w:rsidRPr="001D5CB5">
        <w:t>by Austria clearly presented the adjustment totals, and the method of calculation was transparent. As the adjustment application is for a new source, the quantification is equal to the emission</w:t>
      </w:r>
      <w:r>
        <w:t xml:space="preserve"> of the source</w:t>
      </w:r>
      <w:r w:rsidRPr="001848AE">
        <w:t>.</w:t>
      </w:r>
    </w:p>
    <w:p w:rsidR="00D866CE" w:rsidRPr="00580EB9" w:rsidRDefault="008E4D62" w:rsidP="008E4D62">
      <w:pPr>
        <w:pStyle w:val="Heading3Aether"/>
      </w:pPr>
      <w:bookmarkStart w:id="165" w:name="_Toc499631280"/>
      <w:r>
        <w:rPr>
          <w:lang w:val="en-GB"/>
        </w:rPr>
        <w:t xml:space="preserve">A2.3.2 </w:t>
      </w:r>
      <w:r w:rsidR="00D866CE" w:rsidRPr="00580EB9">
        <w:t>Assessment of the Quantification of the Impact of the Revision</w:t>
      </w:r>
      <w:bookmarkEnd w:id="165"/>
    </w:p>
    <w:p w:rsidR="00D866CE" w:rsidRDefault="00D866CE" w:rsidP="00D866CE">
      <w:pPr>
        <w:pStyle w:val="StandardNum"/>
        <w:ind w:left="142" w:right="284" w:firstLine="0"/>
      </w:pPr>
      <w:r w:rsidRPr="001848AE">
        <w:t xml:space="preserve">The adjustment application process requires that </w:t>
      </w:r>
      <w:r>
        <w:t>Austria</w:t>
      </w:r>
      <w:r w:rsidRPr="001848AE">
        <w:t xml:space="preserve"> submit</w:t>
      </w:r>
      <w:r>
        <w:t>s</w:t>
      </w:r>
      <w:r w:rsidRPr="001848AE">
        <w:t xml:space="preserve"> a quantification of the impact of the adjustment for which an application has been submitted.</w:t>
      </w:r>
      <w:r w:rsidRPr="001848AE" w:rsidDel="006D1AF8">
        <w:t xml:space="preserve"> </w:t>
      </w:r>
      <w:r w:rsidRPr="009B403D">
        <w:fldChar w:fldCharType="begin"/>
      </w:r>
      <w:r w:rsidRPr="009B403D">
        <w:instrText xml:space="preserve"> REF _Ref488994402 \h  \* MERGEFORMAT </w:instrText>
      </w:r>
      <w:r w:rsidRPr="009B403D">
        <w:fldChar w:fldCharType="separate"/>
      </w:r>
      <w:r w:rsidR="00C07297" w:rsidRPr="00C07297">
        <w:t>Table A2. 9</w:t>
      </w:r>
      <w:r w:rsidRPr="009B403D">
        <w:fldChar w:fldCharType="end"/>
      </w:r>
      <w:r w:rsidRPr="001848AE">
        <w:t xml:space="preserve"> provides an overview of the </w:t>
      </w:r>
      <w:r w:rsidR="0057457C" w:rsidRPr="0057457C">
        <w:t>NH</w:t>
      </w:r>
      <w:r w:rsidR="0057457C" w:rsidRPr="0057457C">
        <w:rPr>
          <w:vertAlign w:val="subscript"/>
        </w:rPr>
        <w:t>3</w:t>
      </w:r>
      <w:r w:rsidRPr="001848AE">
        <w:t xml:space="preserve"> adjustment applications of </w:t>
      </w:r>
      <w:r>
        <w:t>Austria</w:t>
      </w:r>
      <w:r w:rsidRPr="001848AE">
        <w:t xml:space="preserve"> in the </w:t>
      </w:r>
      <w:r>
        <w:t>Agriculture</w:t>
      </w:r>
      <w:r w:rsidRPr="001848AE">
        <w:t xml:space="preserve"> sector</w:t>
      </w:r>
      <w:r>
        <w:t xml:space="preserve">; </w:t>
      </w:r>
      <w:r w:rsidRPr="00246890">
        <w:t>3Da2b</w:t>
      </w:r>
      <w:r w:rsidRPr="002821BF">
        <w:t xml:space="preserve"> Sewage sludge applied to soils and </w:t>
      </w:r>
      <w:r w:rsidRPr="00246890">
        <w:t>3Da2c</w:t>
      </w:r>
      <w:r w:rsidRPr="002821BF">
        <w:t xml:space="preserve"> Other organic fertilisers applied to soils</w:t>
      </w:r>
      <w:r>
        <w:t>.</w:t>
      </w:r>
    </w:p>
    <w:p w:rsidR="00D866CE" w:rsidRPr="001848AE" w:rsidRDefault="00D866CE" w:rsidP="00D866CE"/>
    <w:p w:rsidR="00D866CE" w:rsidRDefault="00D866CE" w:rsidP="00D866CE">
      <w:pPr>
        <w:rPr>
          <w:b/>
        </w:rPr>
      </w:pPr>
      <w:bookmarkStart w:id="166" w:name="_Ref488994402"/>
      <w:bookmarkStart w:id="167" w:name="_Toc499631322"/>
      <w:r w:rsidRPr="00421B95">
        <w:rPr>
          <w:b/>
        </w:rPr>
        <w:t>Table</w:t>
      </w:r>
      <w:r w:rsidR="008E4D62">
        <w:rPr>
          <w:b/>
        </w:rPr>
        <w:t xml:space="preserve"> A2.</w:t>
      </w:r>
      <w:r w:rsidRPr="00421B95">
        <w:rPr>
          <w:b/>
        </w:rPr>
        <w:t xml:space="preserve"> </w:t>
      </w:r>
      <w:r w:rsidRPr="00421B95">
        <w:rPr>
          <w:b/>
        </w:rPr>
        <w:fldChar w:fldCharType="begin"/>
      </w:r>
      <w:r w:rsidRPr="00421B95">
        <w:rPr>
          <w:b/>
        </w:rPr>
        <w:instrText xml:space="preserve"> SEQ Table \* ARABIC </w:instrText>
      </w:r>
      <w:r w:rsidRPr="00421B95">
        <w:rPr>
          <w:b/>
        </w:rPr>
        <w:fldChar w:fldCharType="separate"/>
      </w:r>
      <w:r w:rsidR="00C07297">
        <w:rPr>
          <w:b/>
          <w:noProof/>
        </w:rPr>
        <w:t>9</w:t>
      </w:r>
      <w:r w:rsidRPr="00421B95">
        <w:rPr>
          <w:b/>
        </w:rPr>
        <w:fldChar w:fldCharType="end"/>
      </w:r>
      <w:bookmarkEnd w:id="166"/>
      <w:r>
        <w:rPr>
          <w:b/>
        </w:rPr>
        <w:t xml:space="preserve"> Austria</w:t>
      </w:r>
      <w:r w:rsidRPr="00421B95">
        <w:rPr>
          <w:b/>
        </w:rPr>
        <w:t>’s</w:t>
      </w:r>
      <w:r w:rsidRPr="001848AE">
        <w:rPr>
          <w:b/>
        </w:rPr>
        <w:t xml:space="preserve"> </w:t>
      </w:r>
      <w:r w:rsidR="0057457C" w:rsidRPr="0057457C">
        <w:rPr>
          <w:b/>
        </w:rPr>
        <w:t>NH</w:t>
      </w:r>
      <w:r w:rsidR="0057457C" w:rsidRPr="0057457C">
        <w:rPr>
          <w:b/>
          <w:vertAlign w:val="subscript"/>
        </w:rPr>
        <w:t>3</w:t>
      </w:r>
      <w:r w:rsidRPr="001848AE">
        <w:rPr>
          <w:b/>
        </w:rPr>
        <w:t xml:space="preserve"> Adjustment Applications for Agriculture</w:t>
      </w:r>
      <w:r>
        <w:rPr>
          <w:b/>
        </w:rPr>
        <w:t>, 2010-2015</w:t>
      </w:r>
      <w:bookmarkEnd w:id="167"/>
      <w:r>
        <w:rPr>
          <w:b/>
        </w:rPr>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056"/>
        <w:gridCol w:w="926"/>
        <w:gridCol w:w="794"/>
        <w:gridCol w:w="795"/>
        <w:gridCol w:w="794"/>
        <w:gridCol w:w="795"/>
        <w:gridCol w:w="794"/>
        <w:gridCol w:w="803"/>
        <w:gridCol w:w="802"/>
      </w:tblGrid>
      <w:tr w:rsidR="00D866CE" w:rsidRPr="001848AE" w:rsidTr="00D866CE">
        <w:trPr>
          <w:trHeight w:val="77"/>
        </w:trPr>
        <w:tc>
          <w:tcPr>
            <w:tcW w:w="1400" w:type="dxa"/>
            <w:shd w:val="clear" w:color="000000" w:fill="D9D9D9"/>
            <w:tcMar>
              <w:left w:w="57" w:type="dxa"/>
              <w:right w:w="57" w:type="dxa"/>
            </w:tcMar>
            <w:hideMark/>
          </w:tcPr>
          <w:p w:rsidR="00D866CE" w:rsidRPr="001848AE" w:rsidRDefault="00D866CE" w:rsidP="00D866CE">
            <w:pPr>
              <w:spacing w:line="240" w:lineRule="auto"/>
              <w:rPr>
                <w:rFonts w:eastAsia="Times New Roman" w:cs="Arial"/>
                <w:b/>
                <w:bCs/>
                <w:sz w:val="20"/>
                <w:szCs w:val="20"/>
                <w:lang w:eastAsia="en-GB"/>
              </w:rPr>
            </w:pPr>
            <w:r w:rsidRPr="001848AE">
              <w:rPr>
                <w:rFonts w:eastAsia="Times New Roman" w:cs="Arial"/>
                <w:b/>
                <w:bCs/>
                <w:sz w:val="20"/>
                <w:szCs w:val="20"/>
                <w:lang w:eastAsia="en-GB"/>
              </w:rPr>
              <w:t>Reference number</w:t>
            </w:r>
          </w:p>
        </w:tc>
        <w:tc>
          <w:tcPr>
            <w:tcW w:w="1056"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Pollutant</w:t>
            </w:r>
          </w:p>
        </w:tc>
        <w:tc>
          <w:tcPr>
            <w:tcW w:w="926"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NFR</w:t>
            </w:r>
            <w:r>
              <w:rPr>
                <w:rFonts w:eastAsia="Times New Roman" w:cs="Arial"/>
                <w:b/>
                <w:bCs/>
                <w:sz w:val="20"/>
                <w:szCs w:val="20"/>
                <w:lang w:eastAsia="en-GB"/>
              </w:rPr>
              <w:t>14</w:t>
            </w:r>
          </w:p>
        </w:tc>
        <w:tc>
          <w:tcPr>
            <w:tcW w:w="794"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unit</w:t>
            </w:r>
          </w:p>
        </w:tc>
        <w:tc>
          <w:tcPr>
            <w:tcW w:w="795"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2010</w:t>
            </w:r>
          </w:p>
        </w:tc>
        <w:tc>
          <w:tcPr>
            <w:tcW w:w="794"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2011</w:t>
            </w:r>
          </w:p>
        </w:tc>
        <w:tc>
          <w:tcPr>
            <w:tcW w:w="795" w:type="dxa"/>
            <w:shd w:val="clear" w:color="000000" w:fill="D9D9D9"/>
            <w:tcMar>
              <w:left w:w="57" w:type="dxa"/>
              <w:right w:w="57" w:type="dxa"/>
            </w:tcMar>
            <w:hideMark/>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2012</w:t>
            </w:r>
          </w:p>
        </w:tc>
        <w:tc>
          <w:tcPr>
            <w:tcW w:w="794" w:type="dxa"/>
            <w:shd w:val="clear" w:color="000000" w:fill="D9D9D9"/>
            <w:tcMar>
              <w:left w:w="57" w:type="dxa"/>
              <w:right w:w="57" w:type="dxa"/>
            </w:tcMar>
          </w:tcPr>
          <w:p w:rsidR="00D866CE" w:rsidRPr="001848AE" w:rsidRDefault="00D866CE" w:rsidP="00D866CE">
            <w:pPr>
              <w:spacing w:after="0" w:line="240" w:lineRule="auto"/>
              <w:rPr>
                <w:rFonts w:eastAsia="Times New Roman" w:cs="Arial"/>
                <w:b/>
                <w:bCs/>
                <w:sz w:val="20"/>
                <w:szCs w:val="20"/>
                <w:lang w:eastAsia="en-GB"/>
              </w:rPr>
            </w:pPr>
            <w:r w:rsidRPr="001848AE">
              <w:rPr>
                <w:rFonts w:eastAsia="Times New Roman" w:cs="Arial"/>
                <w:b/>
                <w:bCs/>
                <w:sz w:val="20"/>
                <w:szCs w:val="20"/>
                <w:lang w:eastAsia="en-GB"/>
              </w:rPr>
              <w:t>2013</w:t>
            </w:r>
          </w:p>
        </w:tc>
        <w:tc>
          <w:tcPr>
            <w:tcW w:w="803" w:type="dxa"/>
            <w:shd w:val="clear" w:color="000000" w:fill="D9D9D9"/>
          </w:tcPr>
          <w:p w:rsidR="00D866CE" w:rsidRPr="001848AE" w:rsidRDefault="00D866CE" w:rsidP="00D866CE">
            <w:pPr>
              <w:spacing w:after="0" w:line="240" w:lineRule="auto"/>
              <w:rPr>
                <w:rFonts w:eastAsia="Times New Roman" w:cs="Arial"/>
                <w:b/>
                <w:bCs/>
                <w:sz w:val="20"/>
                <w:szCs w:val="20"/>
                <w:lang w:eastAsia="en-GB"/>
              </w:rPr>
            </w:pPr>
            <w:r>
              <w:rPr>
                <w:rFonts w:eastAsia="Times New Roman" w:cs="Arial"/>
                <w:b/>
                <w:bCs/>
                <w:sz w:val="20"/>
                <w:szCs w:val="20"/>
                <w:lang w:eastAsia="en-GB"/>
              </w:rPr>
              <w:t>2014</w:t>
            </w:r>
          </w:p>
        </w:tc>
        <w:tc>
          <w:tcPr>
            <w:tcW w:w="802" w:type="dxa"/>
            <w:shd w:val="clear" w:color="000000" w:fill="D9D9D9"/>
          </w:tcPr>
          <w:p w:rsidR="00D866CE" w:rsidRDefault="00D866CE" w:rsidP="00D866CE">
            <w:pPr>
              <w:spacing w:after="0" w:line="240" w:lineRule="auto"/>
              <w:rPr>
                <w:rFonts w:eastAsia="Times New Roman" w:cs="Arial"/>
                <w:b/>
                <w:bCs/>
                <w:sz w:val="20"/>
                <w:szCs w:val="20"/>
                <w:lang w:eastAsia="en-GB"/>
              </w:rPr>
            </w:pPr>
            <w:r>
              <w:rPr>
                <w:rFonts w:eastAsia="Times New Roman" w:cs="Arial"/>
                <w:b/>
                <w:bCs/>
                <w:sz w:val="20"/>
                <w:szCs w:val="20"/>
                <w:lang w:eastAsia="en-GB"/>
              </w:rPr>
              <w:t>2015</w:t>
            </w:r>
          </w:p>
        </w:tc>
      </w:tr>
      <w:tr w:rsidR="00D866CE" w:rsidRPr="00D20AD2" w:rsidTr="00D866CE">
        <w:trPr>
          <w:trHeight w:val="300"/>
        </w:trPr>
        <w:tc>
          <w:tcPr>
            <w:tcW w:w="1400"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Pr>
                <w:rFonts w:eastAsia="Times New Roman" w:cs="Arial"/>
                <w:sz w:val="20"/>
                <w:szCs w:val="20"/>
                <w:lang w:eastAsia="en-GB"/>
              </w:rPr>
              <w:t>2</w:t>
            </w:r>
          </w:p>
        </w:tc>
        <w:tc>
          <w:tcPr>
            <w:tcW w:w="1056" w:type="dxa"/>
            <w:shd w:val="clear" w:color="000000" w:fill="FFFFFF"/>
            <w:tcMar>
              <w:left w:w="57" w:type="dxa"/>
              <w:right w:w="57" w:type="dxa"/>
            </w:tcMar>
            <w:vAlign w:val="bottom"/>
          </w:tcPr>
          <w:p w:rsidR="00D866CE" w:rsidRPr="00D20AD2" w:rsidRDefault="0057457C" w:rsidP="00D866CE">
            <w:pPr>
              <w:spacing w:line="240" w:lineRule="auto"/>
              <w:rPr>
                <w:rFonts w:eastAsia="Times New Roman" w:cs="Arial"/>
                <w:sz w:val="20"/>
                <w:szCs w:val="20"/>
                <w:lang w:eastAsia="en-GB"/>
              </w:rPr>
            </w:pPr>
            <w:r w:rsidRPr="0057457C">
              <w:rPr>
                <w:rFonts w:eastAsia="Times New Roman" w:cs="Arial"/>
                <w:sz w:val="20"/>
                <w:szCs w:val="20"/>
                <w:lang w:eastAsia="en-GB"/>
              </w:rPr>
              <w:t>NH</w:t>
            </w:r>
            <w:r w:rsidRPr="0057457C">
              <w:rPr>
                <w:rFonts w:eastAsia="Times New Roman" w:cs="Arial"/>
                <w:sz w:val="20"/>
                <w:szCs w:val="20"/>
                <w:vertAlign w:val="subscript"/>
                <w:lang w:eastAsia="en-GB"/>
              </w:rPr>
              <w:t>3</w:t>
            </w:r>
          </w:p>
        </w:tc>
        <w:tc>
          <w:tcPr>
            <w:tcW w:w="926"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3Da2b</w:t>
            </w:r>
          </w:p>
        </w:tc>
        <w:tc>
          <w:tcPr>
            <w:tcW w:w="794"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sidRPr="00D20AD2">
              <w:rPr>
                <w:rFonts w:eastAsia="Times New Roman" w:cs="Arial"/>
                <w:sz w:val="20"/>
                <w:szCs w:val="20"/>
                <w:lang w:eastAsia="en-GB"/>
              </w:rPr>
              <w:t>kt</w:t>
            </w:r>
          </w:p>
        </w:tc>
        <w:tc>
          <w:tcPr>
            <w:tcW w:w="795"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-0.22</w:t>
            </w:r>
          </w:p>
        </w:tc>
        <w:tc>
          <w:tcPr>
            <w:tcW w:w="794"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-0.22</w:t>
            </w:r>
          </w:p>
        </w:tc>
        <w:tc>
          <w:tcPr>
            <w:tcW w:w="795"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-0.21</w:t>
            </w:r>
          </w:p>
        </w:tc>
        <w:tc>
          <w:tcPr>
            <w:tcW w:w="794"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-0.19</w:t>
            </w:r>
          </w:p>
        </w:tc>
        <w:tc>
          <w:tcPr>
            <w:tcW w:w="803" w:type="dxa"/>
            <w:shd w:val="clear" w:color="000000" w:fill="FFFFFF"/>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-0.20</w:t>
            </w:r>
          </w:p>
        </w:tc>
        <w:tc>
          <w:tcPr>
            <w:tcW w:w="802" w:type="dxa"/>
            <w:shd w:val="clear" w:color="000000" w:fill="FFFFFF"/>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-0.2</w:t>
            </w:r>
            <w:r>
              <w:rPr>
                <w:rFonts w:eastAsia="Times New Roman" w:cs="Arial"/>
                <w:sz w:val="20"/>
                <w:szCs w:val="20"/>
                <w:lang w:eastAsia="en-GB"/>
              </w:rPr>
              <w:t>4</w:t>
            </w:r>
          </w:p>
        </w:tc>
      </w:tr>
      <w:tr w:rsidR="00D866CE" w:rsidRPr="00D20AD2" w:rsidTr="00D866CE">
        <w:trPr>
          <w:trHeight w:val="300"/>
        </w:trPr>
        <w:tc>
          <w:tcPr>
            <w:tcW w:w="1400" w:type="dxa"/>
            <w:shd w:val="clear" w:color="000000" w:fill="FFFFFF"/>
            <w:tcMar>
              <w:left w:w="57" w:type="dxa"/>
              <w:right w:w="57" w:type="dxa"/>
            </w:tcMar>
            <w:vAlign w:val="bottom"/>
          </w:tcPr>
          <w:p w:rsidR="00D866CE" w:rsidRDefault="00D866CE" w:rsidP="00D866CE">
            <w:pPr>
              <w:spacing w:line="240" w:lineRule="auto"/>
              <w:rPr>
                <w:rFonts w:eastAsia="Times New Roman" w:cs="Arial"/>
                <w:sz w:val="20"/>
                <w:szCs w:val="20"/>
                <w:lang w:eastAsia="en-GB"/>
              </w:rPr>
            </w:pPr>
            <w:r>
              <w:rPr>
                <w:rFonts w:eastAsia="Times New Roman" w:cs="Arial"/>
                <w:sz w:val="20"/>
                <w:szCs w:val="20"/>
                <w:lang w:eastAsia="en-GB"/>
              </w:rPr>
              <w:t>3</w:t>
            </w:r>
          </w:p>
        </w:tc>
        <w:tc>
          <w:tcPr>
            <w:tcW w:w="1056" w:type="dxa"/>
            <w:shd w:val="clear" w:color="000000" w:fill="FFFFFF"/>
            <w:tcMar>
              <w:left w:w="57" w:type="dxa"/>
              <w:right w:w="57" w:type="dxa"/>
            </w:tcMar>
            <w:vAlign w:val="bottom"/>
          </w:tcPr>
          <w:p w:rsidR="00D866CE" w:rsidRPr="00D20AD2" w:rsidRDefault="0057457C" w:rsidP="00D866CE">
            <w:pPr>
              <w:spacing w:line="240" w:lineRule="auto"/>
              <w:rPr>
                <w:rFonts w:eastAsia="Times New Roman" w:cs="Arial"/>
                <w:sz w:val="20"/>
                <w:szCs w:val="20"/>
                <w:lang w:eastAsia="en-GB"/>
              </w:rPr>
            </w:pPr>
            <w:r w:rsidRPr="0057457C">
              <w:rPr>
                <w:rFonts w:eastAsia="Times New Roman" w:cs="Arial"/>
                <w:sz w:val="20"/>
                <w:szCs w:val="20"/>
                <w:lang w:eastAsia="en-GB"/>
              </w:rPr>
              <w:t>NH</w:t>
            </w:r>
            <w:r w:rsidRPr="0057457C">
              <w:rPr>
                <w:rFonts w:eastAsia="Times New Roman" w:cs="Arial"/>
                <w:sz w:val="20"/>
                <w:szCs w:val="20"/>
                <w:vertAlign w:val="subscript"/>
                <w:lang w:eastAsia="en-GB"/>
              </w:rPr>
              <w:t>3</w:t>
            </w:r>
          </w:p>
        </w:tc>
        <w:tc>
          <w:tcPr>
            <w:tcW w:w="926"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3Da2c</w:t>
            </w:r>
          </w:p>
        </w:tc>
        <w:tc>
          <w:tcPr>
            <w:tcW w:w="794" w:type="dxa"/>
            <w:shd w:val="clear" w:color="000000" w:fill="FFFFFF"/>
            <w:tcMar>
              <w:left w:w="57" w:type="dxa"/>
              <w:right w:w="57" w:type="dxa"/>
            </w:tcMar>
            <w:vAlign w:val="bottom"/>
          </w:tcPr>
          <w:p w:rsidR="00D866CE" w:rsidRPr="00D20AD2" w:rsidRDefault="00D866CE" w:rsidP="00D866CE">
            <w:pPr>
              <w:spacing w:line="240" w:lineRule="auto"/>
              <w:rPr>
                <w:rFonts w:eastAsia="Times New Roman" w:cs="Arial"/>
                <w:sz w:val="20"/>
                <w:szCs w:val="20"/>
                <w:lang w:eastAsia="en-GB"/>
              </w:rPr>
            </w:pPr>
            <w:r>
              <w:rPr>
                <w:rFonts w:eastAsia="Times New Roman" w:cs="Arial"/>
                <w:sz w:val="20"/>
                <w:szCs w:val="20"/>
                <w:lang w:eastAsia="en-GB"/>
              </w:rPr>
              <w:t>kt</w:t>
            </w:r>
          </w:p>
        </w:tc>
        <w:tc>
          <w:tcPr>
            <w:tcW w:w="795"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-0.67</w:t>
            </w:r>
          </w:p>
        </w:tc>
        <w:tc>
          <w:tcPr>
            <w:tcW w:w="794"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-0.6</w:t>
            </w:r>
            <w:r>
              <w:rPr>
                <w:rFonts w:eastAsia="Times New Roman" w:cs="Arial"/>
                <w:sz w:val="20"/>
                <w:szCs w:val="20"/>
                <w:lang w:eastAsia="en-GB"/>
              </w:rPr>
              <w:t>5</w:t>
            </w:r>
          </w:p>
        </w:tc>
        <w:tc>
          <w:tcPr>
            <w:tcW w:w="795"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Pr>
                <w:rFonts w:eastAsia="Times New Roman" w:cs="Arial"/>
                <w:sz w:val="20"/>
                <w:szCs w:val="20"/>
                <w:lang w:eastAsia="en-GB"/>
              </w:rPr>
              <w:t>-0.67</w:t>
            </w:r>
          </w:p>
        </w:tc>
        <w:tc>
          <w:tcPr>
            <w:tcW w:w="794" w:type="dxa"/>
            <w:shd w:val="clear" w:color="000000" w:fill="FFFFFF"/>
            <w:tcMar>
              <w:left w:w="57" w:type="dxa"/>
              <w:right w:w="57" w:type="dxa"/>
            </w:tcMar>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-0.66</w:t>
            </w:r>
          </w:p>
        </w:tc>
        <w:tc>
          <w:tcPr>
            <w:tcW w:w="803" w:type="dxa"/>
            <w:shd w:val="clear" w:color="000000" w:fill="FFFFFF"/>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-0.66</w:t>
            </w:r>
          </w:p>
        </w:tc>
        <w:tc>
          <w:tcPr>
            <w:tcW w:w="802" w:type="dxa"/>
            <w:shd w:val="clear" w:color="000000" w:fill="FFFFFF"/>
          </w:tcPr>
          <w:p w:rsidR="00D866CE" w:rsidRPr="00421B95" w:rsidRDefault="00D866CE" w:rsidP="00D866CE">
            <w:pPr>
              <w:spacing w:line="240" w:lineRule="auto"/>
              <w:rPr>
                <w:rFonts w:eastAsia="Times New Roman" w:cs="Arial"/>
                <w:sz w:val="20"/>
                <w:szCs w:val="20"/>
                <w:lang w:eastAsia="en-GB"/>
              </w:rPr>
            </w:pPr>
            <w:r w:rsidRPr="00421B95">
              <w:rPr>
                <w:rFonts w:eastAsia="Times New Roman" w:cs="Arial"/>
                <w:sz w:val="20"/>
                <w:szCs w:val="20"/>
                <w:lang w:eastAsia="en-GB"/>
              </w:rPr>
              <w:t>-0.66</w:t>
            </w:r>
          </w:p>
        </w:tc>
      </w:tr>
      <w:tr w:rsidR="00D866CE" w:rsidRPr="001848AE" w:rsidTr="00D866CE">
        <w:trPr>
          <w:trHeight w:val="300"/>
        </w:trPr>
        <w:tc>
          <w:tcPr>
            <w:tcW w:w="1400" w:type="dxa"/>
            <w:tcBorders>
              <w:bottom w:val="single" w:sz="4" w:space="0" w:color="auto"/>
            </w:tcBorders>
            <w:shd w:val="clear" w:color="auto" w:fill="auto"/>
            <w:tcMar>
              <w:left w:w="57" w:type="dxa"/>
              <w:right w:w="57" w:type="dxa"/>
            </w:tcMar>
          </w:tcPr>
          <w:p w:rsidR="00D866CE" w:rsidRPr="00D20AD2" w:rsidRDefault="00D866CE" w:rsidP="00D866CE">
            <w:pPr>
              <w:spacing w:line="240" w:lineRule="auto"/>
              <w:rPr>
                <w:rFonts w:eastAsia="Times New Roman" w:cs="Arial"/>
                <w:b/>
                <w:sz w:val="20"/>
                <w:szCs w:val="20"/>
                <w:lang w:eastAsia="en-GB"/>
              </w:rPr>
            </w:pPr>
          </w:p>
        </w:tc>
        <w:tc>
          <w:tcPr>
            <w:tcW w:w="1056" w:type="dxa"/>
            <w:tcBorders>
              <w:bottom w:val="single" w:sz="4" w:space="0" w:color="auto"/>
            </w:tcBorders>
            <w:shd w:val="clear" w:color="auto" w:fill="auto"/>
            <w:tcMar>
              <w:left w:w="57" w:type="dxa"/>
              <w:right w:w="57" w:type="dxa"/>
            </w:tcMar>
          </w:tcPr>
          <w:p w:rsidR="00D866CE" w:rsidRPr="00D20AD2" w:rsidRDefault="0057457C" w:rsidP="00D866CE">
            <w:pPr>
              <w:spacing w:after="0" w:line="240" w:lineRule="auto"/>
              <w:rPr>
                <w:rFonts w:eastAsia="Times New Roman" w:cs="Arial"/>
                <w:b/>
                <w:sz w:val="20"/>
                <w:szCs w:val="20"/>
                <w:lang w:eastAsia="en-GB"/>
              </w:rPr>
            </w:pPr>
            <w:r w:rsidRPr="0057457C">
              <w:rPr>
                <w:rFonts w:eastAsia="Times New Roman" w:cs="Arial"/>
                <w:b/>
                <w:sz w:val="20"/>
                <w:szCs w:val="20"/>
                <w:lang w:eastAsia="en-GB"/>
              </w:rPr>
              <w:t>NH</w:t>
            </w:r>
            <w:r w:rsidRPr="0057457C">
              <w:rPr>
                <w:rFonts w:eastAsia="Times New Roman" w:cs="Arial"/>
                <w:b/>
                <w:sz w:val="20"/>
                <w:szCs w:val="20"/>
                <w:vertAlign w:val="subscript"/>
                <w:lang w:eastAsia="en-GB"/>
              </w:rPr>
              <w:t>3</w:t>
            </w:r>
          </w:p>
        </w:tc>
        <w:tc>
          <w:tcPr>
            <w:tcW w:w="926" w:type="dxa"/>
            <w:tcBorders>
              <w:bottom w:val="single" w:sz="4" w:space="0" w:color="auto"/>
            </w:tcBorders>
            <w:shd w:val="clear" w:color="auto" w:fill="auto"/>
            <w:tcMar>
              <w:left w:w="57" w:type="dxa"/>
              <w:right w:w="57" w:type="dxa"/>
            </w:tcMar>
          </w:tcPr>
          <w:p w:rsidR="00D866CE" w:rsidRPr="00D20AD2" w:rsidRDefault="00D866CE" w:rsidP="00D866CE">
            <w:pPr>
              <w:spacing w:after="0" w:line="240" w:lineRule="auto"/>
              <w:rPr>
                <w:rFonts w:eastAsia="Times New Roman" w:cs="Arial"/>
                <w:b/>
                <w:sz w:val="20"/>
                <w:szCs w:val="20"/>
                <w:lang w:eastAsia="en-GB"/>
              </w:rPr>
            </w:pPr>
            <w:r w:rsidRPr="00D20AD2">
              <w:rPr>
                <w:rFonts w:eastAsia="Times New Roman" w:cs="Arial"/>
                <w:b/>
                <w:sz w:val="20"/>
                <w:szCs w:val="20"/>
                <w:lang w:eastAsia="en-GB"/>
              </w:rPr>
              <w:t>Total</w:t>
            </w:r>
          </w:p>
        </w:tc>
        <w:tc>
          <w:tcPr>
            <w:tcW w:w="794" w:type="dxa"/>
            <w:tcBorders>
              <w:bottom w:val="single" w:sz="4" w:space="0" w:color="auto"/>
            </w:tcBorders>
            <w:shd w:val="clear" w:color="auto" w:fill="auto"/>
            <w:tcMar>
              <w:left w:w="57" w:type="dxa"/>
              <w:right w:w="57" w:type="dxa"/>
            </w:tcMar>
          </w:tcPr>
          <w:p w:rsidR="00D866CE" w:rsidRPr="00D20AD2" w:rsidRDefault="00D866CE" w:rsidP="00D866CE">
            <w:pPr>
              <w:spacing w:after="0" w:line="240" w:lineRule="auto"/>
              <w:rPr>
                <w:rFonts w:eastAsia="Times New Roman" w:cs="Arial"/>
                <w:b/>
                <w:sz w:val="20"/>
                <w:szCs w:val="20"/>
                <w:lang w:eastAsia="en-GB"/>
              </w:rPr>
            </w:pPr>
            <w:r w:rsidRPr="00D20AD2">
              <w:rPr>
                <w:rFonts w:eastAsia="Times New Roman" w:cs="Arial"/>
                <w:b/>
                <w:sz w:val="20"/>
                <w:szCs w:val="20"/>
                <w:lang w:eastAsia="en-GB"/>
              </w:rPr>
              <w:t xml:space="preserve">kt </w:t>
            </w:r>
          </w:p>
        </w:tc>
        <w:tc>
          <w:tcPr>
            <w:tcW w:w="795"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Pr>
                <w:rFonts w:eastAsia="Times New Roman" w:cs="Arial"/>
                <w:b/>
                <w:sz w:val="20"/>
                <w:szCs w:val="20"/>
                <w:lang w:eastAsia="en-GB"/>
              </w:rPr>
              <w:t>-0.90</w:t>
            </w:r>
          </w:p>
        </w:tc>
        <w:tc>
          <w:tcPr>
            <w:tcW w:w="794"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Pr>
                <w:rFonts w:eastAsia="Times New Roman" w:cs="Arial"/>
                <w:b/>
                <w:sz w:val="20"/>
                <w:szCs w:val="20"/>
                <w:lang w:eastAsia="en-GB"/>
              </w:rPr>
              <w:t>-0.87</w:t>
            </w:r>
          </w:p>
        </w:tc>
        <w:tc>
          <w:tcPr>
            <w:tcW w:w="795"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Pr>
                <w:rFonts w:eastAsia="Times New Roman" w:cs="Arial"/>
                <w:b/>
                <w:sz w:val="20"/>
                <w:szCs w:val="20"/>
                <w:lang w:eastAsia="en-GB"/>
              </w:rPr>
              <w:t>-0.88</w:t>
            </w:r>
          </w:p>
        </w:tc>
        <w:tc>
          <w:tcPr>
            <w:tcW w:w="794" w:type="dxa"/>
            <w:tcBorders>
              <w:bottom w:val="single" w:sz="4" w:space="0" w:color="auto"/>
            </w:tcBorders>
            <w:shd w:val="clear" w:color="auto" w:fill="auto"/>
            <w:tcMar>
              <w:left w:w="57" w:type="dxa"/>
              <w:right w:w="57" w:type="dxa"/>
            </w:tcMar>
            <w:vAlign w:val="bottom"/>
          </w:tcPr>
          <w:p w:rsidR="00D866CE" w:rsidRPr="00D20AD2" w:rsidRDefault="00D866CE" w:rsidP="00D866CE">
            <w:pPr>
              <w:spacing w:line="240" w:lineRule="auto"/>
              <w:rPr>
                <w:rFonts w:eastAsia="Times New Roman" w:cs="Arial"/>
                <w:b/>
                <w:sz w:val="20"/>
                <w:szCs w:val="20"/>
                <w:lang w:eastAsia="en-GB"/>
              </w:rPr>
            </w:pPr>
            <w:r>
              <w:rPr>
                <w:rFonts w:eastAsia="Times New Roman" w:cs="Arial"/>
                <w:b/>
                <w:sz w:val="20"/>
                <w:szCs w:val="20"/>
                <w:lang w:eastAsia="en-GB"/>
              </w:rPr>
              <w:t>-0.86</w:t>
            </w:r>
          </w:p>
        </w:tc>
        <w:tc>
          <w:tcPr>
            <w:tcW w:w="803" w:type="dxa"/>
            <w:tcBorders>
              <w:bottom w:val="single" w:sz="4" w:space="0" w:color="auto"/>
            </w:tcBorders>
            <w:vAlign w:val="bottom"/>
          </w:tcPr>
          <w:p w:rsidR="00D866CE" w:rsidRPr="00D20AD2" w:rsidRDefault="00D866CE" w:rsidP="00D866CE">
            <w:pPr>
              <w:spacing w:line="240" w:lineRule="auto"/>
              <w:rPr>
                <w:rFonts w:eastAsia="Times New Roman" w:cs="Arial"/>
                <w:b/>
                <w:sz w:val="20"/>
                <w:szCs w:val="20"/>
                <w:lang w:eastAsia="en-GB"/>
              </w:rPr>
            </w:pPr>
            <w:r>
              <w:rPr>
                <w:rFonts w:eastAsia="Times New Roman" w:cs="Arial"/>
                <w:b/>
                <w:sz w:val="20"/>
                <w:szCs w:val="20"/>
                <w:lang w:eastAsia="en-GB"/>
              </w:rPr>
              <w:t>-0.86</w:t>
            </w:r>
          </w:p>
        </w:tc>
        <w:tc>
          <w:tcPr>
            <w:tcW w:w="802" w:type="dxa"/>
            <w:tcBorders>
              <w:bottom w:val="single" w:sz="4" w:space="0" w:color="auto"/>
            </w:tcBorders>
            <w:vAlign w:val="bottom"/>
          </w:tcPr>
          <w:p w:rsidR="00D866CE" w:rsidRPr="00D20AD2" w:rsidRDefault="00D866CE" w:rsidP="00D866CE">
            <w:pPr>
              <w:spacing w:line="240" w:lineRule="auto"/>
              <w:rPr>
                <w:rFonts w:eastAsia="Times New Roman" w:cs="Arial"/>
                <w:b/>
                <w:sz w:val="20"/>
                <w:szCs w:val="20"/>
                <w:lang w:eastAsia="en-GB"/>
              </w:rPr>
            </w:pPr>
            <w:r>
              <w:rPr>
                <w:rFonts w:eastAsia="Times New Roman" w:cs="Arial"/>
                <w:b/>
                <w:sz w:val="20"/>
                <w:szCs w:val="20"/>
                <w:lang w:eastAsia="en-GB"/>
              </w:rPr>
              <w:t>-0.90</w:t>
            </w:r>
          </w:p>
        </w:tc>
      </w:tr>
    </w:tbl>
    <w:p w:rsidR="00D866CE" w:rsidRPr="001848AE" w:rsidRDefault="00D866CE" w:rsidP="00D866CE">
      <w:pPr>
        <w:ind w:left="284" w:hanging="425"/>
      </w:pPr>
    </w:p>
    <w:p w:rsidR="00D866CE" w:rsidRPr="001D5CB5" w:rsidRDefault="00D866CE" w:rsidP="00D866CE">
      <w:pPr>
        <w:pStyle w:val="StandardNum"/>
        <w:spacing w:line="276" w:lineRule="auto"/>
        <w:ind w:left="142" w:right="284" w:firstLine="0"/>
      </w:pPr>
      <w:r w:rsidRPr="001D5CB5">
        <w:t>The reviewers concluded</w:t>
      </w:r>
      <w:r>
        <w:t xml:space="preserve"> </w:t>
      </w:r>
      <w:r w:rsidRPr="001D5CB5">
        <w:t>that the quantification of the recalculations, as calculated by Austria, include</w:t>
      </w:r>
      <w:r>
        <w:t xml:space="preserve">d no </w:t>
      </w:r>
      <w:r w:rsidRPr="001D5CB5">
        <w:t>calculation errors</w:t>
      </w:r>
      <w:r>
        <w:t xml:space="preserve">, and </w:t>
      </w:r>
      <w:r w:rsidRPr="001D5CB5">
        <w:t>is in line with the most up-to-date available EMEP/EEA Inventory guidebook and scientific literature.</w:t>
      </w:r>
    </w:p>
    <w:p w:rsidR="00D866CE" w:rsidRPr="001D5CB5" w:rsidRDefault="00D866CE" w:rsidP="00D866CE">
      <w:pPr>
        <w:pStyle w:val="StandardNum"/>
        <w:spacing w:line="276" w:lineRule="auto"/>
        <w:ind w:left="142" w:right="284" w:firstLine="0"/>
        <w:rPr>
          <w:rFonts w:cs="Arial"/>
        </w:rPr>
      </w:pPr>
      <w:r w:rsidRPr="001D5CB5">
        <w:t xml:space="preserve">In the 2017 submission, Austria reported </w:t>
      </w:r>
      <w:r w:rsidR="0057457C" w:rsidRPr="0057457C">
        <w:t>NH</w:t>
      </w:r>
      <w:r w:rsidR="0057457C" w:rsidRPr="0057457C">
        <w:rPr>
          <w:vertAlign w:val="subscript"/>
        </w:rPr>
        <w:t>3</w:t>
      </w:r>
      <w:r w:rsidRPr="001D5CB5">
        <w:t xml:space="preserve"> emissions from manure management category 3B and NMVOC emission from Sewage sludge applied to soils, and Other organic fertilisers applied to soils (including compost). Austria explained that these emission estimates are based on the EMEP/EEA Guidebook (2016) which provides new EFs and methodologies for these sources. </w:t>
      </w:r>
      <w:r w:rsidRPr="001D5CB5">
        <w:rPr>
          <w:lang w:eastAsia="de-AT"/>
        </w:rPr>
        <w:t xml:space="preserve">At the time of setting the reduction commitments no valid methodology was provided by the 1999 </w:t>
      </w:r>
      <w:r w:rsidRPr="001D5CB5">
        <w:t>Guidebook</w:t>
      </w:r>
      <w:r w:rsidRPr="001D5CB5">
        <w:rPr>
          <w:lang w:eastAsia="de-AT"/>
        </w:rPr>
        <w:t xml:space="preserve">. </w:t>
      </w:r>
    </w:p>
    <w:p w:rsidR="00D866CE" w:rsidRPr="001D5CB5" w:rsidRDefault="00D866CE" w:rsidP="00D866CE">
      <w:pPr>
        <w:pStyle w:val="StandardNum"/>
        <w:spacing w:line="276" w:lineRule="auto"/>
        <w:ind w:left="142" w:right="284" w:firstLine="0"/>
      </w:pPr>
      <w:r w:rsidRPr="001D5CB5">
        <w:t xml:space="preserve">In its application for an adjustment Austria indicated that its national totals of </w:t>
      </w:r>
      <w:r w:rsidR="0057457C" w:rsidRPr="0057457C">
        <w:t>NH</w:t>
      </w:r>
      <w:r w:rsidR="0057457C" w:rsidRPr="0057457C">
        <w:rPr>
          <w:vertAlign w:val="subscript"/>
        </w:rPr>
        <w:t>3</w:t>
      </w:r>
      <w:r w:rsidRPr="001D5CB5">
        <w:t xml:space="preserve"> emissions would be below their ceilings in accordance with the NECD from 2010 onwards, if the proposed adjustments are accepted.</w:t>
      </w:r>
    </w:p>
    <w:p w:rsidR="00D866CE" w:rsidRPr="001D5CB5" w:rsidRDefault="00D866CE" w:rsidP="00D866CE">
      <w:pPr>
        <w:pStyle w:val="StandardNum"/>
        <w:spacing w:line="276" w:lineRule="auto"/>
        <w:ind w:left="142" w:right="284" w:firstLine="0"/>
      </w:pPr>
      <w:r w:rsidRPr="001D5CB5">
        <w:t xml:space="preserve">The TERT concluded that increased emissions </w:t>
      </w:r>
      <w:r w:rsidRPr="001D5CB5">
        <w:rPr>
          <w:lang w:eastAsia="de-DE"/>
        </w:rPr>
        <w:t xml:space="preserve">are based on </w:t>
      </w:r>
      <w:r>
        <w:rPr>
          <w:lang w:eastAsia="de-DE"/>
        </w:rPr>
        <w:t>“</w:t>
      </w:r>
      <w:r w:rsidRPr="001D5CB5">
        <w:rPr>
          <w:lang w:eastAsia="de-DE"/>
        </w:rPr>
        <w:t>new</w:t>
      </w:r>
      <w:r>
        <w:rPr>
          <w:lang w:eastAsia="de-DE"/>
        </w:rPr>
        <w:t>”</w:t>
      </w:r>
      <w:r w:rsidRPr="001D5CB5">
        <w:rPr>
          <w:lang w:eastAsia="de-DE"/>
        </w:rPr>
        <w:t xml:space="preserve"> emission sources reported by Austria</w:t>
      </w:r>
      <w:r w:rsidRPr="001D5CB5">
        <w:t xml:space="preserve">, </w:t>
      </w:r>
      <w:r>
        <w:t xml:space="preserve">and that </w:t>
      </w:r>
      <w:r w:rsidRPr="001D5CB5">
        <w:t>no methodologies for the</w:t>
      </w:r>
      <w:r>
        <w:t>se</w:t>
      </w:r>
      <w:r w:rsidRPr="001D5CB5">
        <w:t xml:space="preserve"> </w:t>
      </w:r>
      <w:r>
        <w:t xml:space="preserve">sources </w:t>
      </w:r>
      <w:r w:rsidRPr="001D5CB5">
        <w:t>were included in the EMEP/CORINAR Inventory Guidebook 1999</w:t>
      </w:r>
      <w:r w:rsidRPr="001D5CB5">
        <w:rPr>
          <w:lang w:eastAsia="de-DE"/>
        </w:rPr>
        <w:t xml:space="preserve">. </w:t>
      </w:r>
      <w:r w:rsidRPr="001D5CB5">
        <w:t xml:space="preserve">The reviewers are therefore of the opinion that this is </w:t>
      </w:r>
      <w:r w:rsidRPr="002821BF">
        <w:rPr>
          <w:b/>
        </w:rPr>
        <w:t>a valid case for an adjustment</w:t>
      </w:r>
      <w:r w:rsidRPr="001D5CB5">
        <w:t>.</w:t>
      </w:r>
    </w:p>
    <w:p w:rsidR="00D866CE" w:rsidRDefault="00D866CE" w:rsidP="00D866CE">
      <w:pPr>
        <w:ind w:left="284"/>
      </w:pPr>
    </w:p>
    <w:p w:rsidR="00D866CE" w:rsidRPr="007A1299" w:rsidRDefault="008E4D62" w:rsidP="008E4D62">
      <w:pPr>
        <w:pStyle w:val="Heading2Aether"/>
      </w:pPr>
      <w:bookmarkStart w:id="168" w:name="_Toc390425769"/>
      <w:bookmarkStart w:id="169" w:name="_Toc454531594"/>
      <w:bookmarkStart w:id="170" w:name="_Toc477868960"/>
      <w:bookmarkStart w:id="171" w:name="_Toc499631281"/>
      <w:r>
        <w:lastRenderedPageBreak/>
        <w:t xml:space="preserve">A2.4 </w:t>
      </w:r>
      <w:r w:rsidR="00D866CE" w:rsidRPr="007A1299">
        <w:t>Conclusions and Recommendations</w:t>
      </w:r>
      <w:bookmarkEnd w:id="150"/>
      <w:bookmarkEnd w:id="151"/>
      <w:bookmarkEnd w:id="168"/>
      <w:bookmarkEnd w:id="169"/>
      <w:r w:rsidR="00D866CE">
        <w:t xml:space="preserve"> of TERT concerning adjustment applications</w:t>
      </w:r>
      <w:bookmarkEnd w:id="170"/>
      <w:bookmarkEnd w:id="171"/>
      <w:r w:rsidR="00D866CE">
        <w:t xml:space="preserve"> </w:t>
      </w:r>
    </w:p>
    <w:p w:rsidR="00D866CE" w:rsidRPr="00A83F3B" w:rsidRDefault="00D866CE" w:rsidP="00D866CE">
      <w:pPr>
        <w:pStyle w:val="StandardNum"/>
        <w:ind w:left="142" w:right="284" w:firstLine="0"/>
      </w:pPr>
      <w:r w:rsidRPr="00A83F3B">
        <w:t xml:space="preserve">The reviewers have undertaken a full and thorough assessment of the </w:t>
      </w:r>
      <w:r w:rsidRPr="00A83F3B">
        <w:rPr>
          <w:rFonts w:cs="Arial"/>
        </w:rPr>
        <w:t>application</w:t>
      </w:r>
      <w:r w:rsidRPr="00A83F3B">
        <w:t xml:space="preserve"> for an adjustment of the </w:t>
      </w:r>
      <w:r w:rsidR="0057457C" w:rsidRPr="0057457C">
        <w:t>NO</w:t>
      </w:r>
      <w:r w:rsidR="0057457C" w:rsidRPr="0057457C">
        <w:rPr>
          <w:vertAlign w:val="subscript"/>
        </w:rPr>
        <w:t>X</w:t>
      </w:r>
      <w:r w:rsidRPr="00A83F3B">
        <w:t xml:space="preserve"> and </w:t>
      </w:r>
      <w:r w:rsidR="0057457C" w:rsidRPr="0057457C">
        <w:t>NH</w:t>
      </w:r>
      <w:r w:rsidR="0057457C" w:rsidRPr="0057457C">
        <w:rPr>
          <w:vertAlign w:val="subscript"/>
        </w:rPr>
        <w:t>3</w:t>
      </w:r>
      <w:r w:rsidRPr="00A83F3B">
        <w:t xml:space="preserve"> emissions inventory that was submitted by Austria for</w:t>
      </w:r>
      <w:r>
        <w:t xml:space="preserve"> Road</w:t>
      </w:r>
      <w:r w:rsidRPr="00A83F3B">
        <w:t xml:space="preserve"> Transport 1A3b and for Agriculture </w:t>
      </w:r>
      <w:r w:rsidRPr="00A83F3B">
        <w:rPr>
          <w:rFonts w:cs="Calibri"/>
          <w:szCs w:val="20"/>
        </w:rPr>
        <w:t>3D</w:t>
      </w:r>
      <w:r w:rsidRPr="00A83F3B">
        <w:rPr>
          <w:rFonts w:cs="Calibri"/>
          <w:bCs w:val="0"/>
          <w:szCs w:val="20"/>
        </w:rPr>
        <w:t>a2b</w:t>
      </w:r>
      <w:r>
        <w:rPr>
          <w:rFonts w:cs="Calibri"/>
          <w:bCs w:val="0"/>
          <w:szCs w:val="20"/>
        </w:rPr>
        <w:t xml:space="preserve"> and</w:t>
      </w:r>
      <w:r w:rsidRPr="00A83F3B">
        <w:rPr>
          <w:rFonts w:cs="Calibri"/>
          <w:bCs w:val="0"/>
          <w:szCs w:val="20"/>
        </w:rPr>
        <w:t xml:space="preserve"> 3Da2c</w:t>
      </w:r>
      <w:r w:rsidRPr="00A83F3B">
        <w:t>.</w:t>
      </w:r>
    </w:p>
    <w:p w:rsidR="00D866CE" w:rsidRPr="00A83F3B" w:rsidRDefault="00D866CE" w:rsidP="00D866CE">
      <w:pPr>
        <w:pStyle w:val="StandardNum"/>
        <w:ind w:left="142" w:right="284" w:firstLine="0"/>
      </w:pPr>
      <w:r w:rsidRPr="00AD64AD">
        <w:t xml:space="preserve">The review of the submitted application followed the guidance provided in the </w:t>
      </w:r>
      <w:r w:rsidRPr="00765943">
        <w:t xml:space="preserve">Annex to </w:t>
      </w:r>
      <w:r w:rsidRPr="00765943">
        <w:rPr>
          <w:rFonts w:cs="Arial"/>
        </w:rPr>
        <w:t>Decision 2012/12 of the Executive Body of the CLRTAP</w:t>
      </w:r>
      <w:r w:rsidRPr="00765943">
        <w:t xml:space="preserve"> </w:t>
      </w:r>
      <w:r w:rsidRPr="00765943">
        <w:rPr>
          <w:rFonts w:cs="Arial"/>
        </w:rPr>
        <w:t>as amended by Technical Guidance ECE/EB.AIR/130</w:t>
      </w:r>
      <w:r>
        <w:rPr>
          <w:rFonts w:cs="Arial"/>
        </w:rPr>
        <w:t xml:space="preserve"> according to NEC Directive 2016/2284, Article 5.6 and 5.8</w:t>
      </w:r>
      <w:r w:rsidRPr="00765943">
        <w:rPr>
          <w:rFonts w:cs="Arial"/>
        </w:rPr>
        <w:t>.</w:t>
      </w:r>
      <w:r>
        <w:rPr>
          <w:rFonts w:cs="Arial"/>
        </w:rPr>
        <w:t xml:space="preserve"> </w:t>
      </w:r>
      <w:r w:rsidRPr="00AD64AD">
        <w:t xml:space="preserve">The findings of the </w:t>
      </w:r>
      <w:r w:rsidRPr="00A83F3B">
        <w:t xml:space="preserve">reviewers are described in detail in </w:t>
      </w:r>
      <w:r w:rsidR="00802162">
        <w:t>S</w:t>
      </w:r>
      <w:r w:rsidRPr="00A83F3B">
        <w:t>ections</w:t>
      </w:r>
      <w:r>
        <w:t xml:space="preserve"> </w:t>
      </w:r>
      <w:r w:rsidR="00802162">
        <w:t xml:space="preserve">A2.2 </w:t>
      </w:r>
      <w:r>
        <w:t xml:space="preserve">and </w:t>
      </w:r>
      <w:r w:rsidR="00802162">
        <w:t xml:space="preserve">A2.3 </w:t>
      </w:r>
      <w:r w:rsidRPr="00A83F3B">
        <w:t>above of this report.</w:t>
      </w:r>
    </w:p>
    <w:p w:rsidR="00D866CE" w:rsidRPr="00F2255A" w:rsidRDefault="00D866CE" w:rsidP="00D866CE">
      <w:pPr>
        <w:pStyle w:val="StandardNum"/>
        <w:ind w:left="142" w:right="284" w:firstLine="0"/>
      </w:pPr>
      <w:r w:rsidRPr="00A83F3B">
        <w:fldChar w:fldCharType="begin"/>
      </w:r>
      <w:r w:rsidRPr="00A83F3B">
        <w:instrText xml:space="preserve"> REF _Ref488932103 \h  \* MERGEFORMAT </w:instrText>
      </w:r>
      <w:r w:rsidRPr="00A83F3B">
        <w:fldChar w:fldCharType="separate"/>
      </w:r>
      <w:r w:rsidR="00C07297" w:rsidRPr="00C07297">
        <w:t>Table A2. 10</w:t>
      </w:r>
      <w:r w:rsidRPr="00A83F3B">
        <w:fldChar w:fldCharType="end"/>
      </w:r>
      <w:r>
        <w:t xml:space="preserve"> </w:t>
      </w:r>
      <w:r w:rsidRPr="000C7F71">
        <w:t xml:space="preserve">below provides a summary of the adjustment applications received from </w:t>
      </w:r>
      <w:r>
        <w:t>Austria</w:t>
      </w:r>
      <w:r w:rsidRPr="000C7F71">
        <w:t xml:space="preserve">, and the subsequent recommendations made by the </w:t>
      </w:r>
      <w:r>
        <w:t>reviewers</w:t>
      </w:r>
      <w:r w:rsidRPr="000C7F71">
        <w:t xml:space="preserve"> to the </w:t>
      </w:r>
      <w:r>
        <w:t>European Commission</w:t>
      </w:r>
      <w:r w:rsidRPr="000C7F71">
        <w:t>.</w:t>
      </w:r>
    </w:p>
    <w:p w:rsidR="00D866CE" w:rsidRPr="00A83F3B" w:rsidRDefault="00D866CE" w:rsidP="00D866CE">
      <w:pPr>
        <w:rPr>
          <w:b/>
        </w:rPr>
      </w:pPr>
      <w:bookmarkStart w:id="172" w:name="_Ref488932103"/>
      <w:bookmarkStart w:id="173" w:name="_Toc477866883"/>
      <w:bookmarkStart w:id="174" w:name="_Toc499631323"/>
      <w:r w:rsidRPr="00A83F3B">
        <w:rPr>
          <w:b/>
        </w:rPr>
        <w:t>Table</w:t>
      </w:r>
      <w:r w:rsidR="008E4D62">
        <w:rPr>
          <w:b/>
        </w:rPr>
        <w:t xml:space="preserve"> A2.</w:t>
      </w:r>
      <w:r w:rsidRPr="00A83F3B">
        <w:rPr>
          <w:b/>
        </w:rPr>
        <w:t xml:space="preserve"> </w:t>
      </w:r>
      <w:r w:rsidRPr="00A83F3B">
        <w:rPr>
          <w:b/>
        </w:rPr>
        <w:fldChar w:fldCharType="begin"/>
      </w:r>
      <w:r w:rsidRPr="00A83F3B">
        <w:rPr>
          <w:b/>
        </w:rPr>
        <w:instrText xml:space="preserve"> SEQ Table \* ARABIC </w:instrText>
      </w:r>
      <w:r w:rsidRPr="00A83F3B">
        <w:rPr>
          <w:b/>
        </w:rPr>
        <w:fldChar w:fldCharType="separate"/>
      </w:r>
      <w:r w:rsidR="00C07297">
        <w:rPr>
          <w:b/>
          <w:noProof/>
        </w:rPr>
        <w:t>10</w:t>
      </w:r>
      <w:r w:rsidRPr="00A83F3B">
        <w:rPr>
          <w:b/>
        </w:rPr>
        <w:fldChar w:fldCharType="end"/>
      </w:r>
      <w:bookmarkEnd w:id="172"/>
      <w:r w:rsidRPr="00A83F3B">
        <w:rPr>
          <w:b/>
        </w:rPr>
        <w:t xml:space="preserve"> Recommendations from the TERT to the Commission, </w:t>
      </w:r>
      <w:r>
        <w:rPr>
          <w:b/>
        </w:rPr>
        <w:t>Austria</w:t>
      </w:r>
      <w:r w:rsidRPr="00A83F3B">
        <w:rPr>
          <w:b/>
        </w:rPr>
        <w:t xml:space="preserve"> 2017</w:t>
      </w:r>
      <w:bookmarkEnd w:id="173"/>
      <w:bookmarkEnd w:id="174"/>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599"/>
        <w:gridCol w:w="1741"/>
        <w:gridCol w:w="1017"/>
        <w:gridCol w:w="1431"/>
        <w:gridCol w:w="1744"/>
      </w:tblGrid>
      <w:tr w:rsidR="00D866CE" w:rsidRPr="00F2255A" w:rsidTr="00D866CE">
        <w:trPr>
          <w:tblHeader/>
        </w:trPr>
        <w:tc>
          <w:tcPr>
            <w:tcW w:w="1427" w:type="dxa"/>
            <w:tcBorders>
              <w:top w:val="single" w:sz="4" w:space="0" w:color="000000"/>
              <w:left w:val="single" w:sz="12" w:space="0" w:color="000000"/>
              <w:bottom w:val="single" w:sz="12" w:space="0" w:color="000000"/>
              <w:right w:val="single" w:sz="4" w:space="0" w:color="000000"/>
            </w:tcBorders>
            <w:shd w:val="clear" w:color="auto" w:fill="D9D9D9"/>
            <w:tcMar>
              <w:left w:w="57" w:type="dxa"/>
              <w:right w:w="57" w:type="dxa"/>
            </w:tcMar>
            <w:vAlign w:val="center"/>
          </w:tcPr>
          <w:p w:rsidR="00D866CE" w:rsidRPr="00F2255A" w:rsidRDefault="00D866CE" w:rsidP="00D866CE">
            <w:pPr>
              <w:jc w:val="center"/>
              <w:rPr>
                <w:rFonts w:eastAsia="Times New Roman" w:cs="Calibri"/>
                <w:b/>
                <w:sz w:val="20"/>
                <w:szCs w:val="20"/>
              </w:rPr>
            </w:pPr>
            <w:r>
              <w:rPr>
                <w:rFonts w:eastAsia="Times New Roman" w:cs="Calibri"/>
                <w:b/>
                <w:sz w:val="20"/>
                <w:szCs w:val="20"/>
              </w:rPr>
              <w:t>MS</w:t>
            </w:r>
          </w:p>
        </w:tc>
        <w:tc>
          <w:tcPr>
            <w:tcW w:w="1599" w:type="dxa"/>
            <w:tcBorders>
              <w:top w:val="single" w:sz="4" w:space="0" w:color="000000"/>
              <w:left w:val="single" w:sz="4" w:space="0" w:color="000000"/>
              <w:bottom w:val="single" w:sz="12" w:space="0" w:color="000000"/>
              <w:right w:val="single" w:sz="4" w:space="0" w:color="000000"/>
            </w:tcBorders>
            <w:shd w:val="clear" w:color="auto" w:fill="D9D9D9"/>
            <w:tcMar>
              <w:left w:w="57" w:type="dxa"/>
              <w:right w:w="57" w:type="dxa"/>
            </w:tcMar>
            <w:vAlign w:val="center"/>
          </w:tcPr>
          <w:p w:rsidR="00D866CE" w:rsidRPr="00F2255A" w:rsidRDefault="00D866CE" w:rsidP="00D866CE">
            <w:pPr>
              <w:jc w:val="center"/>
              <w:rPr>
                <w:rFonts w:eastAsia="Times New Roman" w:cs="Calibri"/>
                <w:b/>
                <w:sz w:val="20"/>
                <w:szCs w:val="20"/>
              </w:rPr>
            </w:pPr>
            <w:r w:rsidRPr="00F2255A">
              <w:rPr>
                <w:rFonts w:eastAsia="Times New Roman" w:cs="Calibri"/>
                <w:b/>
                <w:sz w:val="20"/>
                <w:szCs w:val="20"/>
              </w:rPr>
              <w:t xml:space="preserve"> Sector</w:t>
            </w:r>
          </w:p>
        </w:tc>
        <w:tc>
          <w:tcPr>
            <w:tcW w:w="1741" w:type="dxa"/>
            <w:tcBorders>
              <w:top w:val="single" w:sz="4" w:space="0" w:color="000000"/>
              <w:left w:val="single" w:sz="4" w:space="0" w:color="000000"/>
              <w:bottom w:val="single" w:sz="12" w:space="0" w:color="000000"/>
              <w:right w:val="single" w:sz="4" w:space="0" w:color="000000"/>
            </w:tcBorders>
            <w:shd w:val="clear" w:color="auto" w:fill="D9D9D9"/>
            <w:tcMar>
              <w:left w:w="57" w:type="dxa"/>
              <w:right w:w="57" w:type="dxa"/>
            </w:tcMar>
            <w:vAlign w:val="center"/>
          </w:tcPr>
          <w:p w:rsidR="00D866CE" w:rsidRPr="00F2255A" w:rsidRDefault="00D866CE" w:rsidP="00D866CE">
            <w:pPr>
              <w:jc w:val="center"/>
              <w:rPr>
                <w:rFonts w:eastAsia="Times New Roman" w:cs="Calibri"/>
                <w:b/>
                <w:sz w:val="20"/>
                <w:szCs w:val="20"/>
              </w:rPr>
            </w:pPr>
            <w:r w:rsidRPr="00F2255A">
              <w:rPr>
                <w:rFonts w:eastAsia="Times New Roman" w:cs="Calibri"/>
                <w:b/>
                <w:sz w:val="20"/>
                <w:szCs w:val="20"/>
              </w:rPr>
              <w:t>NFRs</w:t>
            </w:r>
          </w:p>
        </w:tc>
        <w:tc>
          <w:tcPr>
            <w:tcW w:w="1017" w:type="dxa"/>
            <w:tcBorders>
              <w:top w:val="single" w:sz="4" w:space="0" w:color="000000"/>
              <w:left w:val="single" w:sz="4" w:space="0" w:color="000000"/>
              <w:bottom w:val="single" w:sz="12" w:space="0" w:color="000000"/>
              <w:right w:val="single" w:sz="4" w:space="0" w:color="000000"/>
            </w:tcBorders>
            <w:shd w:val="clear" w:color="auto" w:fill="D9D9D9"/>
            <w:tcMar>
              <w:left w:w="57" w:type="dxa"/>
              <w:right w:w="57" w:type="dxa"/>
            </w:tcMar>
            <w:vAlign w:val="center"/>
          </w:tcPr>
          <w:p w:rsidR="00D866CE" w:rsidRPr="00F2255A" w:rsidRDefault="00D866CE" w:rsidP="00D866CE">
            <w:pPr>
              <w:jc w:val="center"/>
              <w:rPr>
                <w:rFonts w:eastAsia="Times New Roman" w:cs="Calibri"/>
                <w:b/>
                <w:sz w:val="20"/>
                <w:szCs w:val="20"/>
              </w:rPr>
            </w:pPr>
            <w:r w:rsidRPr="00F2255A">
              <w:rPr>
                <w:rFonts w:eastAsia="Times New Roman" w:cs="Calibri"/>
                <w:b/>
                <w:sz w:val="20"/>
                <w:szCs w:val="20"/>
              </w:rPr>
              <w:t>Pollutant</w:t>
            </w:r>
          </w:p>
        </w:tc>
        <w:tc>
          <w:tcPr>
            <w:tcW w:w="1431" w:type="dxa"/>
            <w:tcBorders>
              <w:top w:val="single" w:sz="4" w:space="0" w:color="000000"/>
              <w:left w:val="single" w:sz="4" w:space="0" w:color="000000"/>
              <w:bottom w:val="single" w:sz="12" w:space="0" w:color="000000"/>
              <w:right w:val="single" w:sz="4" w:space="0" w:color="000000"/>
            </w:tcBorders>
            <w:shd w:val="clear" w:color="auto" w:fill="D9D9D9"/>
            <w:tcMar>
              <w:left w:w="57" w:type="dxa"/>
              <w:right w:w="57" w:type="dxa"/>
            </w:tcMar>
            <w:vAlign w:val="center"/>
          </w:tcPr>
          <w:p w:rsidR="00D866CE" w:rsidRPr="00F2255A" w:rsidRDefault="00D866CE" w:rsidP="00D866CE">
            <w:pPr>
              <w:jc w:val="center"/>
              <w:rPr>
                <w:rFonts w:eastAsia="Times New Roman" w:cs="Calibri"/>
                <w:b/>
                <w:sz w:val="20"/>
                <w:szCs w:val="20"/>
              </w:rPr>
            </w:pPr>
            <w:r w:rsidRPr="00F2255A">
              <w:rPr>
                <w:rFonts w:eastAsia="Times New Roman" w:cs="Calibri"/>
                <w:b/>
                <w:sz w:val="20"/>
                <w:szCs w:val="20"/>
              </w:rPr>
              <w:t>Years</w:t>
            </w:r>
          </w:p>
        </w:tc>
        <w:tc>
          <w:tcPr>
            <w:tcW w:w="1744" w:type="dxa"/>
            <w:tcBorders>
              <w:top w:val="single" w:sz="4" w:space="0" w:color="000000"/>
              <w:left w:val="single" w:sz="4" w:space="0" w:color="000000"/>
              <w:bottom w:val="single" w:sz="12" w:space="0" w:color="000000"/>
              <w:right w:val="single" w:sz="12" w:space="0" w:color="000000"/>
            </w:tcBorders>
            <w:shd w:val="clear" w:color="auto" w:fill="D9D9D9"/>
            <w:tcMar>
              <w:left w:w="57" w:type="dxa"/>
              <w:right w:w="57" w:type="dxa"/>
            </w:tcMar>
            <w:vAlign w:val="center"/>
          </w:tcPr>
          <w:p w:rsidR="00D866CE" w:rsidRPr="00F2255A" w:rsidRDefault="00D866CE" w:rsidP="00D866CE">
            <w:pPr>
              <w:jc w:val="center"/>
              <w:rPr>
                <w:rFonts w:eastAsia="Times New Roman" w:cs="Calibri"/>
                <w:b/>
                <w:sz w:val="20"/>
                <w:szCs w:val="20"/>
              </w:rPr>
            </w:pPr>
            <w:r>
              <w:rPr>
                <w:rFonts w:eastAsia="Times New Roman" w:cs="Calibri"/>
                <w:b/>
                <w:sz w:val="20"/>
                <w:szCs w:val="20"/>
              </w:rPr>
              <w:t>Reviewers</w:t>
            </w:r>
            <w:r w:rsidRPr="00F2255A">
              <w:rPr>
                <w:rFonts w:eastAsia="Times New Roman" w:cs="Calibri"/>
                <w:b/>
                <w:sz w:val="20"/>
                <w:szCs w:val="20"/>
              </w:rPr>
              <w:t xml:space="preserve"> Recommendation</w:t>
            </w:r>
          </w:p>
        </w:tc>
      </w:tr>
      <w:tr w:rsidR="00D866CE" w:rsidRPr="00246890" w:rsidTr="00D866CE">
        <w:trPr>
          <w:trHeight w:val="329"/>
        </w:trPr>
        <w:tc>
          <w:tcPr>
            <w:tcW w:w="1427" w:type="dxa"/>
            <w:tcBorders>
              <w:top w:val="single" w:sz="4" w:space="0" w:color="000000"/>
              <w:left w:val="single" w:sz="12"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b/>
                <w:sz w:val="20"/>
                <w:szCs w:val="20"/>
              </w:rPr>
            </w:pPr>
            <w:r w:rsidRPr="00246890">
              <w:rPr>
                <w:rFonts w:cs="Calibri"/>
                <w:b/>
                <w:sz w:val="20"/>
                <w:szCs w:val="20"/>
              </w:rPr>
              <w:t>Austria</w:t>
            </w:r>
          </w:p>
        </w:tc>
        <w:tc>
          <w:tcPr>
            <w:tcW w:w="159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sz w:val="20"/>
                <w:szCs w:val="20"/>
              </w:rPr>
            </w:pPr>
            <w:r w:rsidRPr="00246890">
              <w:rPr>
                <w:rFonts w:cs="Calibri"/>
                <w:sz w:val="20"/>
                <w:szCs w:val="20"/>
              </w:rPr>
              <w:t>Transport</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D866CE" w:rsidRPr="00246890" w:rsidRDefault="00D866CE" w:rsidP="00D866CE">
            <w:pPr>
              <w:jc w:val="center"/>
              <w:rPr>
                <w:rFonts w:cs="Calibri"/>
                <w:sz w:val="20"/>
                <w:szCs w:val="20"/>
              </w:rPr>
            </w:pPr>
            <w:r w:rsidRPr="00497C87">
              <w:rPr>
                <w:rFonts w:cs="Calibri"/>
                <w:sz w:val="20"/>
                <w:szCs w:val="20"/>
              </w:rPr>
              <w:t>1A3bi-</w:t>
            </w:r>
            <w:r>
              <w:rPr>
                <w:rFonts w:cs="Calibri"/>
                <w:sz w:val="20"/>
                <w:szCs w:val="20"/>
              </w:rPr>
              <w:t>iv</w:t>
            </w:r>
          </w:p>
        </w:tc>
        <w:tc>
          <w:tcPr>
            <w:tcW w:w="10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57457C" w:rsidP="00D866CE">
            <w:pPr>
              <w:jc w:val="center"/>
              <w:rPr>
                <w:rFonts w:cs="Calibri"/>
                <w:sz w:val="20"/>
                <w:szCs w:val="20"/>
              </w:rPr>
            </w:pPr>
            <w:r w:rsidRPr="0057457C">
              <w:rPr>
                <w:rFonts w:cs="Calibri"/>
                <w:sz w:val="20"/>
                <w:szCs w:val="20"/>
              </w:rPr>
              <w:t>NO</w:t>
            </w:r>
            <w:r w:rsidRPr="0057457C">
              <w:rPr>
                <w:rFonts w:cs="Calibri"/>
                <w:sz w:val="20"/>
                <w:szCs w:val="20"/>
                <w:vertAlign w:val="subscript"/>
              </w:rPr>
              <w:t>X</w:t>
            </w:r>
          </w:p>
        </w:tc>
        <w:tc>
          <w:tcPr>
            <w:tcW w:w="143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sz w:val="20"/>
                <w:szCs w:val="20"/>
              </w:rPr>
            </w:pPr>
            <w:r w:rsidRPr="00246890">
              <w:rPr>
                <w:rFonts w:cs="Calibri"/>
                <w:sz w:val="20"/>
                <w:szCs w:val="20"/>
              </w:rPr>
              <w:t>2010- 2015</w:t>
            </w:r>
          </w:p>
        </w:tc>
        <w:tc>
          <w:tcPr>
            <w:tcW w:w="1744" w:type="dxa"/>
            <w:tcBorders>
              <w:top w:val="single" w:sz="4" w:space="0" w:color="000000"/>
              <w:left w:val="single" w:sz="4" w:space="0" w:color="000000"/>
              <w:bottom w:val="single" w:sz="4" w:space="0" w:color="000000"/>
              <w:right w:val="single" w:sz="12" w:space="0" w:color="000000"/>
            </w:tcBorders>
            <w:tcMar>
              <w:left w:w="57" w:type="dxa"/>
              <w:right w:w="57" w:type="dxa"/>
            </w:tcMar>
            <w:vAlign w:val="center"/>
          </w:tcPr>
          <w:p w:rsidR="00D866CE" w:rsidRPr="00246890" w:rsidRDefault="00D866CE" w:rsidP="00D866CE">
            <w:pPr>
              <w:jc w:val="center"/>
              <w:rPr>
                <w:rFonts w:cs="Calibri"/>
                <w:b/>
                <w:sz w:val="20"/>
                <w:szCs w:val="20"/>
              </w:rPr>
            </w:pPr>
            <w:r w:rsidRPr="00246890">
              <w:rPr>
                <w:rFonts w:cs="Calibri"/>
                <w:b/>
                <w:sz w:val="20"/>
                <w:szCs w:val="20"/>
              </w:rPr>
              <w:t>Accept</w:t>
            </w:r>
          </w:p>
        </w:tc>
      </w:tr>
      <w:tr w:rsidR="00D866CE" w:rsidRPr="00246890" w:rsidTr="00D866CE">
        <w:trPr>
          <w:trHeight w:val="329"/>
        </w:trPr>
        <w:tc>
          <w:tcPr>
            <w:tcW w:w="1427" w:type="dxa"/>
            <w:tcBorders>
              <w:top w:val="single" w:sz="4" w:space="0" w:color="000000"/>
              <w:left w:val="single" w:sz="12"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b/>
                <w:sz w:val="20"/>
                <w:szCs w:val="20"/>
              </w:rPr>
            </w:pPr>
            <w:r w:rsidRPr="00246890">
              <w:rPr>
                <w:rFonts w:cs="Calibri"/>
                <w:b/>
                <w:sz w:val="20"/>
                <w:szCs w:val="20"/>
              </w:rPr>
              <w:t>Austria</w:t>
            </w:r>
          </w:p>
        </w:tc>
        <w:tc>
          <w:tcPr>
            <w:tcW w:w="159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sz w:val="20"/>
                <w:szCs w:val="20"/>
              </w:rPr>
            </w:pPr>
            <w:r w:rsidRPr="00246890">
              <w:rPr>
                <w:rFonts w:cs="Calibri"/>
                <w:sz w:val="20"/>
                <w:szCs w:val="20"/>
              </w:rPr>
              <w:t>Agriculture</w:t>
            </w:r>
          </w:p>
        </w:tc>
        <w:tc>
          <w:tcPr>
            <w:tcW w:w="174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sz w:val="20"/>
                <w:szCs w:val="20"/>
              </w:rPr>
            </w:pPr>
            <w:r>
              <w:rPr>
                <w:rFonts w:cs="Calibri"/>
                <w:sz w:val="20"/>
                <w:szCs w:val="20"/>
              </w:rPr>
              <w:t>3Da2b</w:t>
            </w:r>
            <w:r w:rsidRPr="00246890">
              <w:rPr>
                <w:rFonts w:cs="Calibri"/>
                <w:sz w:val="20"/>
                <w:szCs w:val="20"/>
              </w:rPr>
              <w:t xml:space="preserve">  </w:t>
            </w:r>
          </w:p>
        </w:tc>
        <w:tc>
          <w:tcPr>
            <w:tcW w:w="10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57457C" w:rsidP="00D866CE">
            <w:pPr>
              <w:jc w:val="center"/>
              <w:rPr>
                <w:rFonts w:cs="Calibri"/>
                <w:sz w:val="20"/>
                <w:szCs w:val="20"/>
              </w:rPr>
            </w:pPr>
            <w:r w:rsidRPr="0057457C">
              <w:rPr>
                <w:rFonts w:cs="Calibri"/>
                <w:sz w:val="20"/>
                <w:szCs w:val="20"/>
              </w:rPr>
              <w:t>NH</w:t>
            </w:r>
            <w:r w:rsidRPr="0057457C">
              <w:rPr>
                <w:rFonts w:cs="Calibri"/>
                <w:sz w:val="20"/>
                <w:szCs w:val="20"/>
                <w:vertAlign w:val="subscript"/>
              </w:rPr>
              <w:t>3</w:t>
            </w:r>
          </w:p>
        </w:tc>
        <w:tc>
          <w:tcPr>
            <w:tcW w:w="14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D866CE" w:rsidRPr="00246890" w:rsidRDefault="00D866CE" w:rsidP="00D866CE">
            <w:pPr>
              <w:jc w:val="center"/>
              <w:rPr>
                <w:rFonts w:cs="Calibri"/>
                <w:sz w:val="20"/>
                <w:szCs w:val="20"/>
              </w:rPr>
            </w:pPr>
            <w:r w:rsidRPr="00246890">
              <w:rPr>
                <w:rFonts w:cs="Calibri"/>
                <w:sz w:val="20"/>
                <w:szCs w:val="20"/>
              </w:rPr>
              <w:t>2010- 2015</w:t>
            </w:r>
          </w:p>
        </w:tc>
        <w:tc>
          <w:tcPr>
            <w:tcW w:w="1744" w:type="dxa"/>
            <w:tcBorders>
              <w:top w:val="single" w:sz="4" w:space="0" w:color="000000"/>
              <w:left w:val="single" w:sz="4" w:space="0" w:color="000000"/>
              <w:bottom w:val="single" w:sz="4" w:space="0" w:color="000000"/>
              <w:right w:val="single" w:sz="12" w:space="0" w:color="000000"/>
            </w:tcBorders>
            <w:tcMar>
              <w:left w:w="57" w:type="dxa"/>
              <w:right w:w="57" w:type="dxa"/>
            </w:tcMar>
          </w:tcPr>
          <w:p w:rsidR="00D866CE" w:rsidRPr="00246890" w:rsidRDefault="00D866CE" w:rsidP="00D866CE">
            <w:pPr>
              <w:jc w:val="center"/>
              <w:rPr>
                <w:rFonts w:cs="Calibri"/>
                <w:b/>
                <w:sz w:val="20"/>
                <w:szCs w:val="20"/>
              </w:rPr>
            </w:pPr>
            <w:r w:rsidRPr="00246890">
              <w:rPr>
                <w:rFonts w:cs="Calibri"/>
                <w:b/>
                <w:sz w:val="20"/>
                <w:szCs w:val="20"/>
              </w:rPr>
              <w:t>Accept</w:t>
            </w:r>
          </w:p>
        </w:tc>
      </w:tr>
      <w:tr w:rsidR="00D866CE" w:rsidRPr="00246890" w:rsidTr="00D866CE">
        <w:trPr>
          <w:trHeight w:val="329"/>
        </w:trPr>
        <w:tc>
          <w:tcPr>
            <w:tcW w:w="1427" w:type="dxa"/>
            <w:tcBorders>
              <w:top w:val="single" w:sz="4" w:space="0" w:color="000000"/>
              <w:left w:val="single" w:sz="12"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b/>
                <w:sz w:val="20"/>
                <w:szCs w:val="20"/>
              </w:rPr>
            </w:pPr>
            <w:r w:rsidRPr="00246890">
              <w:rPr>
                <w:rFonts w:cs="Calibri"/>
                <w:b/>
                <w:sz w:val="20"/>
                <w:szCs w:val="20"/>
              </w:rPr>
              <w:t>Austria</w:t>
            </w:r>
          </w:p>
        </w:tc>
        <w:tc>
          <w:tcPr>
            <w:tcW w:w="159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sz w:val="20"/>
                <w:szCs w:val="20"/>
              </w:rPr>
            </w:pPr>
            <w:r w:rsidRPr="00246890">
              <w:rPr>
                <w:rFonts w:cs="Calibri"/>
                <w:sz w:val="20"/>
                <w:szCs w:val="20"/>
              </w:rPr>
              <w:t>Agriculture</w:t>
            </w:r>
          </w:p>
        </w:tc>
        <w:tc>
          <w:tcPr>
            <w:tcW w:w="174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D866CE" w:rsidP="00D866CE">
            <w:pPr>
              <w:jc w:val="center"/>
              <w:rPr>
                <w:rFonts w:cs="Calibri"/>
                <w:sz w:val="20"/>
                <w:szCs w:val="20"/>
              </w:rPr>
            </w:pPr>
            <w:r w:rsidRPr="00246890">
              <w:rPr>
                <w:rFonts w:cs="Calibri"/>
                <w:sz w:val="20"/>
                <w:szCs w:val="20"/>
              </w:rPr>
              <w:t xml:space="preserve"> 3Da2c</w:t>
            </w:r>
          </w:p>
        </w:tc>
        <w:tc>
          <w:tcPr>
            <w:tcW w:w="10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866CE" w:rsidRPr="00246890" w:rsidRDefault="0057457C" w:rsidP="00D866CE">
            <w:pPr>
              <w:jc w:val="center"/>
              <w:rPr>
                <w:rFonts w:cs="Calibri"/>
                <w:sz w:val="20"/>
                <w:szCs w:val="20"/>
              </w:rPr>
            </w:pPr>
            <w:r w:rsidRPr="0057457C">
              <w:rPr>
                <w:rFonts w:cs="Calibri"/>
                <w:sz w:val="20"/>
                <w:szCs w:val="20"/>
              </w:rPr>
              <w:t>NH</w:t>
            </w:r>
            <w:r w:rsidRPr="0057457C">
              <w:rPr>
                <w:rFonts w:cs="Calibri"/>
                <w:sz w:val="20"/>
                <w:szCs w:val="20"/>
                <w:vertAlign w:val="subscript"/>
              </w:rPr>
              <w:t>3</w:t>
            </w:r>
          </w:p>
        </w:tc>
        <w:tc>
          <w:tcPr>
            <w:tcW w:w="1431" w:type="dxa"/>
            <w:tcBorders>
              <w:top w:val="single" w:sz="4" w:space="0" w:color="000000"/>
              <w:left w:val="single" w:sz="4" w:space="0" w:color="000000"/>
              <w:bottom w:val="single" w:sz="4" w:space="0" w:color="000000"/>
              <w:right w:val="single" w:sz="4" w:space="0" w:color="000000"/>
            </w:tcBorders>
            <w:tcMar>
              <w:left w:w="57" w:type="dxa"/>
              <w:right w:w="57" w:type="dxa"/>
            </w:tcMar>
          </w:tcPr>
          <w:p w:rsidR="00D866CE" w:rsidRPr="00246890" w:rsidRDefault="00D866CE" w:rsidP="00D866CE">
            <w:pPr>
              <w:jc w:val="center"/>
              <w:rPr>
                <w:rFonts w:cs="Calibri"/>
                <w:sz w:val="20"/>
                <w:szCs w:val="20"/>
              </w:rPr>
            </w:pPr>
            <w:r w:rsidRPr="00246890">
              <w:rPr>
                <w:rFonts w:cs="Calibri"/>
                <w:sz w:val="20"/>
                <w:szCs w:val="20"/>
              </w:rPr>
              <w:t>2010- 2015</w:t>
            </w:r>
          </w:p>
        </w:tc>
        <w:tc>
          <w:tcPr>
            <w:tcW w:w="1744" w:type="dxa"/>
            <w:tcBorders>
              <w:top w:val="single" w:sz="4" w:space="0" w:color="000000"/>
              <w:left w:val="single" w:sz="4" w:space="0" w:color="000000"/>
              <w:bottom w:val="single" w:sz="4" w:space="0" w:color="000000"/>
              <w:right w:val="single" w:sz="12" w:space="0" w:color="000000"/>
            </w:tcBorders>
            <w:tcMar>
              <w:left w:w="57" w:type="dxa"/>
              <w:right w:w="57" w:type="dxa"/>
            </w:tcMar>
          </w:tcPr>
          <w:p w:rsidR="00D866CE" w:rsidRPr="00246890" w:rsidRDefault="00D866CE" w:rsidP="00D866CE">
            <w:pPr>
              <w:jc w:val="center"/>
              <w:rPr>
                <w:rFonts w:cs="Calibri"/>
                <w:b/>
                <w:sz w:val="20"/>
                <w:szCs w:val="20"/>
              </w:rPr>
            </w:pPr>
            <w:r w:rsidRPr="00246890">
              <w:rPr>
                <w:rFonts w:cs="Calibri"/>
                <w:b/>
                <w:sz w:val="20"/>
                <w:szCs w:val="20"/>
              </w:rPr>
              <w:t>Accept</w:t>
            </w:r>
          </w:p>
        </w:tc>
      </w:tr>
    </w:tbl>
    <w:p w:rsidR="00D866CE" w:rsidRDefault="00D866CE" w:rsidP="00D866CE">
      <w:pPr>
        <w:suppressAutoHyphens/>
        <w:spacing w:after="120" w:line="160" w:lineRule="atLeast"/>
        <w:ind w:left="284" w:right="567"/>
        <w:rPr>
          <w:rFonts w:eastAsia="Times New Roman" w:cs="Calibri"/>
          <w:sz w:val="20"/>
          <w:szCs w:val="20"/>
        </w:rPr>
      </w:pPr>
    </w:p>
    <w:p w:rsidR="00D866CE" w:rsidRPr="009C72D3" w:rsidRDefault="008E4D62" w:rsidP="008E4D62">
      <w:pPr>
        <w:pStyle w:val="Heading2Aether"/>
      </w:pPr>
      <w:bookmarkStart w:id="175" w:name="_Toc454531595"/>
      <w:bookmarkStart w:id="176" w:name="_Toc477868961"/>
      <w:bookmarkStart w:id="177" w:name="_Ref488929856"/>
      <w:bookmarkStart w:id="178" w:name="_Toc499631282"/>
      <w:r>
        <w:t xml:space="preserve">A2.5 </w:t>
      </w:r>
      <w:r w:rsidR="00D866CE" w:rsidRPr="009C72D3">
        <w:t xml:space="preserve">Information </w:t>
      </w:r>
      <w:r w:rsidR="00D866CE">
        <w:rPr>
          <w:lang w:val="de-AT"/>
        </w:rPr>
        <w:t>provided</w:t>
      </w:r>
      <w:r w:rsidR="00D866CE">
        <w:t xml:space="preserve"> </w:t>
      </w:r>
      <w:r w:rsidR="00D866CE" w:rsidRPr="009C72D3">
        <w:t xml:space="preserve">by </w:t>
      </w:r>
      <w:bookmarkEnd w:id="175"/>
      <w:bookmarkEnd w:id="176"/>
      <w:r w:rsidR="00D866CE">
        <w:rPr>
          <w:lang w:val="de-AT"/>
        </w:rPr>
        <w:t>Austria</w:t>
      </w:r>
      <w:bookmarkEnd w:id="177"/>
      <w:bookmarkEnd w:id="178"/>
    </w:p>
    <w:p w:rsidR="00D866CE" w:rsidRPr="00A83F3B" w:rsidRDefault="00D866CE" w:rsidP="00D866CE">
      <w:pPr>
        <w:pStyle w:val="StandardNum"/>
        <w:ind w:left="142" w:right="284" w:firstLine="0"/>
      </w:pPr>
      <w:r w:rsidRPr="009B403D">
        <w:fldChar w:fldCharType="begin"/>
      </w:r>
      <w:r w:rsidRPr="009B403D">
        <w:instrText xml:space="preserve"> REF _Ref488994421 \h  \* MERGEFORMAT </w:instrText>
      </w:r>
      <w:r w:rsidRPr="009B403D">
        <w:fldChar w:fldCharType="separate"/>
      </w:r>
      <w:r w:rsidR="00C07297" w:rsidRPr="00C07297">
        <w:t xml:space="preserve">Table A2. </w:t>
      </w:r>
      <w:r w:rsidR="00C07297" w:rsidRPr="00C07297">
        <w:rPr>
          <w:noProof/>
        </w:rPr>
        <w:t>11</w:t>
      </w:r>
      <w:r w:rsidRPr="009B403D">
        <w:fldChar w:fldCharType="end"/>
      </w:r>
      <w:r w:rsidRPr="009B403D">
        <w:t xml:space="preserve"> </w:t>
      </w:r>
      <w:r w:rsidRPr="00A83F3B">
        <w:t xml:space="preserve">below lists the information provided by Austria in its adjustment application. The information provided by Austria was stored on the EMRT-NECD review platform. </w:t>
      </w:r>
      <w:r w:rsidRPr="00EE36EC">
        <w:t>Together with the Adjustment Report and the Excel Tables</w:t>
      </w:r>
      <w:r>
        <w:t>,</w:t>
      </w:r>
      <w:r w:rsidRPr="00EE36EC">
        <w:t xml:space="preserve"> Austria also provided a technical report containing a detailed description of the transport emission</w:t>
      </w:r>
      <w:r>
        <w:t>s</w:t>
      </w:r>
      <w:r w:rsidRPr="00EE36EC">
        <w:t xml:space="preserve"> model and the </w:t>
      </w:r>
      <w:r>
        <w:t xml:space="preserve">impact resulting from the use of different </w:t>
      </w:r>
      <w:r w:rsidRPr="00EE36EC">
        <w:t>emissions factors</w:t>
      </w:r>
      <w:r>
        <w:t>.</w:t>
      </w:r>
    </w:p>
    <w:p w:rsidR="00D866CE" w:rsidRPr="00A83F3B" w:rsidRDefault="00D866CE" w:rsidP="00D866CE">
      <w:pPr>
        <w:rPr>
          <w:b/>
        </w:rPr>
      </w:pPr>
      <w:bookmarkStart w:id="179" w:name="_Ref488994421"/>
      <w:bookmarkStart w:id="180" w:name="_Toc499631324"/>
      <w:r w:rsidRPr="00A83F3B">
        <w:rPr>
          <w:b/>
        </w:rPr>
        <w:t>Table</w:t>
      </w:r>
      <w:r w:rsidR="008E4D62">
        <w:rPr>
          <w:b/>
        </w:rPr>
        <w:t xml:space="preserve"> A2.</w:t>
      </w:r>
      <w:r w:rsidRPr="00A83F3B">
        <w:rPr>
          <w:b/>
        </w:rPr>
        <w:t xml:space="preserve"> </w:t>
      </w:r>
      <w:r w:rsidRPr="00A83F3B">
        <w:rPr>
          <w:b/>
        </w:rPr>
        <w:fldChar w:fldCharType="begin"/>
      </w:r>
      <w:r w:rsidRPr="00A83F3B">
        <w:rPr>
          <w:b/>
        </w:rPr>
        <w:instrText xml:space="preserve"> SEQ Table \* ARABIC </w:instrText>
      </w:r>
      <w:r w:rsidRPr="00A83F3B">
        <w:rPr>
          <w:b/>
        </w:rPr>
        <w:fldChar w:fldCharType="separate"/>
      </w:r>
      <w:r w:rsidR="00C07297">
        <w:rPr>
          <w:b/>
          <w:noProof/>
        </w:rPr>
        <w:t>11</w:t>
      </w:r>
      <w:r w:rsidRPr="00A83F3B">
        <w:rPr>
          <w:b/>
        </w:rPr>
        <w:fldChar w:fldCharType="end"/>
      </w:r>
      <w:bookmarkEnd w:id="179"/>
      <w:r w:rsidRPr="00A83F3B">
        <w:rPr>
          <w:b/>
        </w:rPr>
        <w:t xml:space="preserve"> </w:t>
      </w:r>
      <w:r>
        <w:rPr>
          <w:b/>
        </w:rPr>
        <w:t>Information p</w:t>
      </w:r>
      <w:r w:rsidRPr="00A83F3B">
        <w:rPr>
          <w:b/>
        </w:rPr>
        <w:t xml:space="preserve">rovided by </w:t>
      </w:r>
      <w:r>
        <w:rPr>
          <w:b/>
        </w:rPr>
        <w:t>Austria</w:t>
      </w:r>
      <w:bookmarkEnd w:id="180"/>
    </w:p>
    <w:tbl>
      <w:tblPr>
        <w:tblW w:w="8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9"/>
        <w:gridCol w:w="5280"/>
      </w:tblGrid>
      <w:tr w:rsidR="00D866CE" w:rsidRPr="00580EC2" w:rsidTr="00D866CE">
        <w:tc>
          <w:tcPr>
            <w:tcW w:w="3794" w:type="dxa"/>
            <w:shd w:val="clear" w:color="auto" w:fill="D9D9D9"/>
          </w:tcPr>
          <w:p w:rsidR="00D866CE" w:rsidRPr="00580EC2" w:rsidRDefault="00D866CE" w:rsidP="00D866CE">
            <w:pPr>
              <w:rPr>
                <w:b/>
              </w:rPr>
            </w:pPr>
            <w:r w:rsidRPr="00580EC2">
              <w:rPr>
                <w:b/>
              </w:rPr>
              <w:t>Filename</w:t>
            </w:r>
          </w:p>
        </w:tc>
        <w:tc>
          <w:tcPr>
            <w:tcW w:w="5448" w:type="dxa"/>
            <w:shd w:val="clear" w:color="auto" w:fill="D9D9D9"/>
          </w:tcPr>
          <w:p w:rsidR="00D866CE" w:rsidRPr="00580EC2" w:rsidRDefault="00D866CE" w:rsidP="00D866CE">
            <w:pPr>
              <w:rPr>
                <w:b/>
              </w:rPr>
            </w:pPr>
            <w:r w:rsidRPr="00580EC2">
              <w:rPr>
                <w:b/>
              </w:rPr>
              <w:t>Short description of content</w:t>
            </w:r>
          </w:p>
        </w:tc>
      </w:tr>
      <w:tr w:rsidR="00D866CE" w:rsidRPr="00401170" w:rsidTr="00D866CE">
        <w:tc>
          <w:tcPr>
            <w:tcW w:w="3794" w:type="dxa"/>
          </w:tcPr>
          <w:p w:rsidR="00D866CE" w:rsidRPr="00FD01B1" w:rsidRDefault="00D866CE" w:rsidP="00D866CE">
            <w:pPr>
              <w:rPr>
                <w:sz w:val="20"/>
                <w:szCs w:val="20"/>
                <w:lang w:val="fr-BE"/>
              </w:rPr>
            </w:pPr>
            <w:r w:rsidRPr="00A83F3B">
              <w:rPr>
                <w:sz w:val="20"/>
                <w:szCs w:val="20"/>
                <w:lang w:val="fr-BE"/>
              </w:rPr>
              <w:t>Erledigung_BMLFUW-UW.1.3.3_0012-I_4_2017_15.02.2017_</w:t>
            </w:r>
            <w:r>
              <w:rPr>
                <w:sz w:val="20"/>
                <w:szCs w:val="20"/>
                <w:lang w:val="fr-BE"/>
              </w:rPr>
              <w:t>.pdf</w:t>
            </w:r>
          </w:p>
        </w:tc>
        <w:tc>
          <w:tcPr>
            <w:tcW w:w="5448" w:type="dxa"/>
          </w:tcPr>
          <w:p w:rsidR="00D866CE" w:rsidRPr="00401170" w:rsidRDefault="00D866CE" w:rsidP="00D866CE">
            <w:pPr>
              <w:rPr>
                <w:sz w:val="20"/>
                <w:szCs w:val="20"/>
              </w:rPr>
            </w:pPr>
            <w:r>
              <w:rPr>
                <w:sz w:val="20"/>
                <w:szCs w:val="20"/>
              </w:rPr>
              <w:t>Letter from the Austrian Federal Ministry of agriculture, forestry, environment and water management on the r</w:t>
            </w:r>
            <w:r w:rsidRPr="009B2095">
              <w:rPr>
                <w:sz w:val="20"/>
                <w:szCs w:val="20"/>
              </w:rPr>
              <w:t>eporting on national emission inventory according to Directive (EU) 2016/2284</w:t>
            </w:r>
            <w:r>
              <w:rPr>
                <w:sz w:val="20"/>
                <w:szCs w:val="20"/>
              </w:rPr>
              <w:t xml:space="preserve">, including the announcement of an adjustment application according to Art. 5.1 for </w:t>
            </w:r>
            <w:r w:rsidR="0057457C" w:rsidRPr="0057457C">
              <w:rPr>
                <w:sz w:val="20"/>
                <w:szCs w:val="20"/>
              </w:rPr>
              <w:t>NO</w:t>
            </w:r>
            <w:r w:rsidR="0057457C" w:rsidRPr="0057457C">
              <w:rPr>
                <w:sz w:val="20"/>
                <w:szCs w:val="20"/>
                <w:vertAlign w:val="subscript"/>
              </w:rPr>
              <w:t>X</w:t>
            </w:r>
            <w:r>
              <w:rPr>
                <w:sz w:val="20"/>
                <w:szCs w:val="20"/>
              </w:rPr>
              <w:t xml:space="preserve"> and </w:t>
            </w:r>
            <w:r w:rsidR="0057457C" w:rsidRPr="0057457C">
              <w:rPr>
                <w:sz w:val="20"/>
                <w:szCs w:val="20"/>
              </w:rPr>
              <w:t>NH</w:t>
            </w:r>
            <w:r w:rsidR="0057457C" w:rsidRPr="0057457C">
              <w:rPr>
                <w:sz w:val="20"/>
                <w:szCs w:val="20"/>
                <w:vertAlign w:val="subscript"/>
              </w:rPr>
              <w:t>3</w:t>
            </w:r>
            <w:r>
              <w:rPr>
                <w:sz w:val="20"/>
                <w:szCs w:val="20"/>
              </w:rPr>
              <w:t xml:space="preserve"> covering the years 2010-2015.</w:t>
            </w:r>
          </w:p>
        </w:tc>
      </w:tr>
      <w:tr w:rsidR="00D866CE" w:rsidRPr="00401170" w:rsidTr="00D866CE">
        <w:tc>
          <w:tcPr>
            <w:tcW w:w="3794" w:type="dxa"/>
          </w:tcPr>
          <w:p w:rsidR="00D866CE" w:rsidRPr="00DA4550" w:rsidRDefault="00D866CE" w:rsidP="00D866CE">
            <w:pPr>
              <w:rPr>
                <w:sz w:val="20"/>
                <w:szCs w:val="20"/>
              </w:rPr>
            </w:pPr>
            <w:r w:rsidRPr="009B2095">
              <w:rPr>
                <w:sz w:val="20"/>
                <w:szCs w:val="20"/>
              </w:rPr>
              <w:t>AT_Annex_II_to_Adjustment_Application_2017</w:t>
            </w:r>
            <w:r>
              <w:rPr>
                <w:sz w:val="20"/>
                <w:szCs w:val="20"/>
              </w:rPr>
              <w:t>.xlsx</w:t>
            </w:r>
          </w:p>
        </w:tc>
        <w:tc>
          <w:tcPr>
            <w:tcW w:w="5448" w:type="dxa"/>
          </w:tcPr>
          <w:p w:rsidR="00D866CE" w:rsidRPr="00401170" w:rsidRDefault="00D866CE" w:rsidP="00D866CE">
            <w:pPr>
              <w:rPr>
                <w:sz w:val="20"/>
                <w:szCs w:val="20"/>
              </w:rPr>
            </w:pPr>
            <w:r>
              <w:rPr>
                <w:sz w:val="20"/>
                <w:szCs w:val="20"/>
              </w:rPr>
              <w:t>The detailed calculations for the quantification of the 2017 adjustments.</w:t>
            </w:r>
          </w:p>
        </w:tc>
      </w:tr>
      <w:tr w:rsidR="00D866CE" w:rsidRPr="00580EC2" w:rsidTr="00D866CE">
        <w:tc>
          <w:tcPr>
            <w:tcW w:w="3794" w:type="dxa"/>
          </w:tcPr>
          <w:p w:rsidR="00D866CE" w:rsidRPr="009B2095" w:rsidRDefault="00D866CE" w:rsidP="00D866CE">
            <w:pPr>
              <w:rPr>
                <w:sz w:val="20"/>
                <w:szCs w:val="20"/>
                <w:lang w:val="en-US"/>
              </w:rPr>
            </w:pPr>
            <w:r w:rsidRPr="009B2095">
              <w:rPr>
                <w:sz w:val="20"/>
                <w:szCs w:val="20"/>
                <w:lang w:val="en-US"/>
              </w:rPr>
              <w:t>AT_Inventory_Adjustment_Report_15032017.pdf</w:t>
            </w:r>
          </w:p>
        </w:tc>
        <w:tc>
          <w:tcPr>
            <w:tcW w:w="5448" w:type="dxa"/>
          </w:tcPr>
          <w:p w:rsidR="00D866CE" w:rsidRPr="00401170" w:rsidRDefault="00D866CE" w:rsidP="00D866CE">
            <w:pPr>
              <w:rPr>
                <w:sz w:val="20"/>
                <w:szCs w:val="20"/>
              </w:rPr>
            </w:pPr>
            <w:r>
              <w:rPr>
                <w:sz w:val="20"/>
                <w:szCs w:val="20"/>
              </w:rPr>
              <w:t>Adjustment Report from Austria.</w:t>
            </w:r>
          </w:p>
        </w:tc>
      </w:tr>
      <w:tr w:rsidR="00D866CE" w:rsidRPr="00EE36EC" w:rsidTr="00D866CE">
        <w:tc>
          <w:tcPr>
            <w:tcW w:w="3794" w:type="dxa"/>
          </w:tcPr>
          <w:p w:rsidR="00D866CE" w:rsidRPr="009B2095" w:rsidRDefault="00D866CE" w:rsidP="00D866CE">
            <w:pPr>
              <w:rPr>
                <w:sz w:val="20"/>
                <w:szCs w:val="20"/>
                <w:lang w:val="en-US"/>
              </w:rPr>
            </w:pPr>
            <w:r w:rsidRPr="00EE36EC">
              <w:rPr>
                <w:sz w:val="20"/>
                <w:szCs w:val="20"/>
                <w:lang w:val="en-US"/>
              </w:rPr>
              <w:t xml:space="preserve">Final_report_transport_emissions_HBEFA1-2_vs_3-2_Endversion_2017.pdf </w:t>
            </w:r>
          </w:p>
        </w:tc>
        <w:tc>
          <w:tcPr>
            <w:tcW w:w="5448" w:type="dxa"/>
          </w:tcPr>
          <w:p w:rsidR="00D866CE" w:rsidRPr="00EE36EC" w:rsidRDefault="00D866CE" w:rsidP="00D866CE">
            <w:pPr>
              <w:rPr>
                <w:sz w:val="20"/>
                <w:szCs w:val="20"/>
                <w:lang w:val="en-US"/>
              </w:rPr>
            </w:pPr>
            <w:r w:rsidRPr="00EE36EC">
              <w:rPr>
                <w:sz w:val="20"/>
                <w:szCs w:val="20"/>
                <w:lang w:val="en-US"/>
              </w:rPr>
              <w:t xml:space="preserve">Assessment of transport emissions in Austria for the year 2015 based on emission factors from HBEFA1.2 and </w:t>
            </w:r>
            <w:r w:rsidRPr="00EE36EC">
              <w:rPr>
                <w:sz w:val="20"/>
                <w:szCs w:val="20"/>
                <w:lang w:val="en-US"/>
              </w:rPr>
              <w:lastRenderedPageBreak/>
              <w:t>HBEFA3.2. (Report No. Inst 02/17 Rex Em 13/2016-679 from 14.02.2017).</w:t>
            </w:r>
          </w:p>
        </w:tc>
      </w:tr>
    </w:tbl>
    <w:p w:rsidR="00D866CE" w:rsidRPr="00580EC2" w:rsidRDefault="00D866CE" w:rsidP="00D866CE">
      <w:pPr>
        <w:ind w:left="284"/>
      </w:pPr>
    </w:p>
    <w:p w:rsidR="00D866CE" w:rsidRPr="001D5CB5" w:rsidRDefault="00D866CE" w:rsidP="00D866CE">
      <w:pPr>
        <w:pStyle w:val="StandardNum"/>
        <w:ind w:left="142" w:right="284" w:firstLine="0"/>
        <w:rPr>
          <w:bCs w:val="0"/>
          <w:sz w:val="20"/>
          <w:szCs w:val="20"/>
        </w:rPr>
      </w:pPr>
      <w:r w:rsidRPr="001D5CB5">
        <w:t>The reviewers did not find it necessary to ask Austria for further information</w:t>
      </w:r>
      <w:r>
        <w:t>.</w:t>
      </w:r>
      <w:r w:rsidRPr="001D5CB5">
        <w:t xml:space="preserve"> </w:t>
      </w:r>
    </w:p>
    <w:p w:rsidR="00A46927" w:rsidRPr="001D5CB5" w:rsidRDefault="00A46927" w:rsidP="008E4D62">
      <w:pPr>
        <w:pStyle w:val="StandardNum"/>
        <w:numPr>
          <w:ilvl w:val="0"/>
          <w:numId w:val="0"/>
        </w:numPr>
        <w:ind w:left="360" w:right="284" w:hanging="360"/>
        <w:rPr>
          <w:bCs w:val="0"/>
          <w:sz w:val="20"/>
          <w:szCs w:val="20"/>
        </w:rPr>
      </w:pPr>
    </w:p>
    <w:p w:rsidR="001D5FC7" w:rsidRPr="001D5FC7" w:rsidRDefault="00E237E2" w:rsidP="001D5FC7">
      <w:r>
        <w:br w:type="page"/>
      </w:r>
    </w:p>
    <w:p w:rsidR="008F2045" w:rsidRPr="003B2E91" w:rsidRDefault="008F2045" w:rsidP="00207111">
      <w:pPr>
        <w:pStyle w:val="Heading1"/>
        <w:numPr>
          <w:ilvl w:val="0"/>
          <w:numId w:val="0"/>
        </w:numPr>
      </w:pPr>
      <w:bookmarkStart w:id="181" w:name="_Toc492151004"/>
      <w:bookmarkStart w:id="182" w:name="_Toc492151883"/>
      <w:bookmarkStart w:id="183" w:name="_Toc492152667"/>
      <w:bookmarkStart w:id="184" w:name="_Toc492152977"/>
      <w:bookmarkStart w:id="185" w:name="_Toc492154240"/>
      <w:bookmarkStart w:id="186" w:name="_Toc492151248"/>
      <w:bookmarkStart w:id="187" w:name="_Toc492152127"/>
      <w:bookmarkStart w:id="188" w:name="_Toc492152911"/>
      <w:bookmarkStart w:id="189" w:name="_Toc492153221"/>
      <w:bookmarkStart w:id="190" w:name="_Toc492154484"/>
      <w:bookmarkStart w:id="191" w:name="_Toc492151252"/>
      <w:bookmarkStart w:id="192" w:name="_Toc492152131"/>
      <w:bookmarkStart w:id="193" w:name="_Toc492152915"/>
      <w:bookmarkStart w:id="194" w:name="_Toc492153225"/>
      <w:bookmarkStart w:id="195" w:name="_Toc492154488"/>
      <w:bookmarkStart w:id="196" w:name="_Toc492151254"/>
      <w:bookmarkStart w:id="197" w:name="_Toc492152133"/>
      <w:bookmarkStart w:id="198" w:name="_Toc492152917"/>
      <w:bookmarkStart w:id="199" w:name="_Toc492153227"/>
      <w:bookmarkStart w:id="200" w:name="_Toc492154490"/>
      <w:bookmarkStart w:id="201" w:name="_Toc390425770"/>
      <w:bookmarkStart w:id="202" w:name="_Toc454531596"/>
      <w:bookmarkStart w:id="203" w:name="_Toc49963128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B2E91">
        <w:lastRenderedPageBreak/>
        <w:t>References</w:t>
      </w:r>
      <w:bookmarkEnd w:id="201"/>
      <w:bookmarkEnd w:id="202"/>
      <w:r w:rsidR="00FA7265">
        <w:t xml:space="preserve"> and </w:t>
      </w:r>
      <w:r w:rsidR="00C018D2">
        <w:t>S</w:t>
      </w:r>
      <w:r w:rsidR="00FA7265">
        <w:t xml:space="preserve">upporting </w:t>
      </w:r>
      <w:r w:rsidR="00C018D2">
        <w:t>D</w:t>
      </w:r>
      <w:r w:rsidR="00FA7265">
        <w:t>ocuments</w:t>
      </w:r>
      <w:bookmarkEnd w:id="203"/>
    </w:p>
    <w:p w:rsidR="00492A2E" w:rsidRPr="001D5FC7" w:rsidRDefault="00492A2E" w:rsidP="00492A2E">
      <w:pPr>
        <w:rPr>
          <w:rStyle w:val="Hyperlink"/>
          <w:sz w:val="20"/>
          <w:szCs w:val="20"/>
        </w:rPr>
      </w:pPr>
      <w:r w:rsidRPr="001D5FC7">
        <w:rPr>
          <w:sz w:val="20"/>
          <w:szCs w:val="20"/>
        </w:rPr>
        <w:t xml:space="preserve">EEA, </w:t>
      </w:r>
      <w:r w:rsidRPr="001D5FC7">
        <w:rPr>
          <w:sz w:val="20"/>
          <w:szCs w:val="20"/>
          <w:lang w:eastAsia="en-GB"/>
        </w:rPr>
        <w:t>2017</w:t>
      </w:r>
      <w:r w:rsidRPr="001D5FC7">
        <w:rPr>
          <w:sz w:val="20"/>
          <w:szCs w:val="20"/>
        </w:rPr>
        <w:t>. Tista M., Gager M., Ullrich B., NEC Directive status report 2015.</w:t>
      </w:r>
      <w:r w:rsidR="008365C6" w:rsidRPr="001D5FC7">
        <w:rPr>
          <w:sz w:val="20"/>
          <w:szCs w:val="20"/>
        </w:rPr>
        <w:t xml:space="preserve"> </w:t>
      </w:r>
      <w:r w:rsidRPr="001D5FC7">
        <w:rPr>
          <w:sz w:val="20"/>
          <w:szCs w:val="20"/>
        </w:rPr>
        <w:t>European Environment Agency, Copenhagen. Available at:</w:t>
      </w:r>
      <w:r w:rsidRPr="001D5FC7">
        <w:rPr>
          <w:sz w:val="20"/>
          <w:szCs w:val="20"/>
        </w:rPr>
        <w:br/>
      </w:r>
      <w:hyperlink r:id="rId16" w:history="1">
        <w:r w:rsidR="00015889" w:rsidRPr="003317C2">
          <w:rPr>
            <w:rStyle w:val="Hyperlink"/>
            <w:sz w:val="20"/>
            <w:szCs w:val="20"/>
          </w:rPr>
          <w:t>http://www.eea.europa.eu/themes/air/national-emission-ceilings/nec-directive-reporting-status-2015</w:t>
        </w:r>
      </w:hyperlink>
    </w:p>
    <w:p w:rsidR="001F4304" w:rsidRPr="001D5FC7" w:rsidRDefault="00FA7265" w:rsidP="001F4304">
      <w:pPr>
        <w:rPr>
          <w:sz w:val="20"/>
          <w:szCs w:val="20"/>
        </w:rPr>
      </w:pPr>
      <w:r w:rsidRPr="001D5FC7">
        <w:rPr>
          <w:sz w:val="20"/>
          <w:szCs w:val="20"/>
        </w:rPr>
        <w:t>EU 2017,</w:t>
      </w:r>
      <w:r w:rsidR="008365C6" w:rsidRPr="001D5FC7">
        <w:rPr>
          <w:sz w:val="20"/>
          <w:szCs w:val="20"/>
        </w:rPr>
        <w:t xml:space="preserve"> </w:t>
      </w:r>
      <w:r w:rsidRPr="001D5FC7">
        <w:rPr>
          <w:sz w:val="20"/>
          <w:szCs w:val="20"/>
        </w:rPr>
        <w:t>EU</w:t>
      </w:r>
      <w:r w:rsidR="001F4304" w:rsidRPr="001D5FC7">
        <w:rPr>
          <w:sz w:val="20"/>
          <w:szCs w:val="20"/>
        </w:rPr>
        <w:t xml:space="preserve"> Air Emission inventory review Guidelines</w:t>
      </w:r>
      <w:r w:rsidR="00A46AA0" w:rsidRPr="001D5FC7">
        <w:rPr>
          <w:sz w:val="20"/>
          <w:szCs w:val="20"/>
        </w:rPr>
        <w:t xml:space="preserve"> </w:t>
      </w:r>
    </w:p>
    <w:p w:rsidR="00FA7265" w:rsidRPr="001D5FC7" w:rsidRDefault="00FA7265" w:rsidP="001F4304">
      <w:pPr>
        <w:rPr>
          <w:sz w:val="20"/>
          <w:szCs w:val="20"/>
        </w:rPr>
      </w:pPr>
      <w:r w:rsidRPr="001D5FC7">
        <w:rPr>
          <w:sz w:val="20"/>
          <w:szCs w:val="20"/>
        </w:rPr>
        <w:t>EU 2017, Guidance for TERTs</w:t>
      </w:r>
    </w:p>
    <w:p w:rsidR="008F2045" w:rsidRPr="001F4304" w:rsidRDefault="008F2045" w:rsidP="008F2045">
      <w:pPr>
        <w:rPr>
          <w:sz w:val="20"/>
          <w:szCs w:val="20"/>
          <w:lang w:eastAsia="en-GB"/>
        </w:rPr>
      </w:pPr>
      <w:r w:rsidRPr="001D5FC7">
        <w:rPr>
          <w:sz w:val="20"/>
          <w:szCs w:val="20"/>
          <w:lang w:eastAsia="en-GB"/>
        </w:rPr>
        <w:t xml:space="preserve">Decision 2012/3 </w:t>
      </w:r>
      <w:r w:rsidRPr="001D5FC7">
        <w:rPr>
          <w:sz w:val="20"/>
          <w:szCs w:val="20"/>
        </w:rPr>
        <w:t>(</w:t>
      </w:r>
      <w:r w:rsidRPr="001D5FC7">
        <w:rPr>
          <w:bCs/>
          <w:sz w:val="20"/>
          <w:szCs w:val="20"/>
          <w:lang w:eastAsia="en-GB"/>
        </w:rPr>
        <w:t>ECE/EB.AIR/111</w:t>
      </w:r>
      <w:r w:rsidRPr="001F4304">
        <w:rPr>
          <w:bCs/>
          <w:sz w:val="20"/>
          <w:szCs w:val="20"/>
          <w:lang w:eastAsia="en-GB"/>
        </w:rPr>
        <w:t>/Add.1)</w:t>
      </w:r>
      <w:r w:rsidRPr="001F4304">
        <w:rPr>
          <w:sz w:val="20"/>
          <w:szCs w:val="20"/>
          <w:lang w:eastAsia="en-GB"/>
        </w:rPr>
        <w:t>: Adjustments under the Gothenburg Protocol to emission reduction commitments or to inventories for the purposes of comparing total national emissions with them</w:t>
      </w:r>
    </w:p>
    <w:p w:rsidR="008F2045" w:rsidRPr="001F4304" w:rsidRDefault="008F2045" w:rsidP="008F2045">
      <w:pPr>
        <w:rPr>
          <w:sz w:val="20"/>
          <w:szCs w:val="20"/>
          <w:lang w:eastAsia="en-GB"/>
        </w:rPr>
      </w:pPr>
      <w:r w:rsidRPr="001F4304">
        <w:rPr>
          <w:sz w:val="20"/>
          <w:szCs w:val="20"/>
          <w:lang w:eastAsia="en-GB"/>
        </w:rPr>
        <w:t>Decision 2012/12</w:t>
      </w:r>
      <w:r w:rsidRPr="001F4304">
        <w:rPr>
          <w:sz w:val="20"/>
          <w:szCs w:val="20"/>
        </w:rPr>
        <w:t xml:space="preserve"> (</w:t>
      </w:r>
      <w:r w:rsidRPr="001F4304">
        <w:rPr>
          <w:bCs/>
          <w:sz w:val="20"/>
          <w:szCs w:val="20"/>
          <w:lang w:eastAsia="en-GB"/>
        </w:rPr>
        <w:t>ECE/EB.AIR/113/Add.1)</w:t>
      </w:r>
      <w:r w:rsidRPr="001F4304">
        <w:rPr>
          <w:sz w:val="20"/>
          <w:szCs w:val="20"/>
          <w:lang w:eastAsia="en-GB"/>
        </w:rPr>
        <w:t>: Guidance for adjustments under the 1999 Protocol to Abate Acidification, Eutrophication and Ground-level Ozone to emission reduction commitments or to inve</w:t>
      </w:r>
      <w:r w:rsidR="00492A2E" w:rsidRPr="001F4304">
        <w:rPr>
          <w:sz w:val="20"/>
          <w:szCs w:val="20"/>
          <w:lang w:eastAsia="en-GB"/>
        </w:rPr>
        <w:t>n</w:t>
      </w:r>
      <w:r w:rsidRPr="001F4304">
        <w:rPr>
          <w:sz w:val="20"/>
          <w:szCs w:val="20"/>
          <w:lang w:eastAsia="en-GB"/>
        </w:rPr>
        <w:t>tories for the purposes of comparing total national emissions with them</w:t>
      </w:r>
    </w:p>
    <w:p w:rsidR="008F2045" w:rsidRPr="001F4304" w:rsidRDefault="008F2045" w:rsidP="008F2045">
      <w:pPr>
        <w:pStyle w:val="Default"/>
        <w:rPr>
          <w:rFonts w:ascii="Calibri" w:hAnsi="Calibri"/>
          <w:color w:val="auto"/>
          <w:sz w:val="20"/>
          <w:szCs w:val="20"/>
        </w:rPr>
      </w:pPr>
      <w:r w:rsidRPr="001F4304">
        <w:rPr>
          <w:rFonts w:ascii="Calibri" w:hAnsi="Calibri" w:cs="Times New Roman"/>
          <w:color w:val="auto"/>
          <w:sz w:val="20"/>
          <w:szCs w:val="20"/>
        </w:rPr>
        <w:t>Decision 2014/1 (ECE/EB.Air/127/Add.1)</w:t>
      </w:r>
      <w:r w:rsidR="00A46AA0">
        <w:rPr>
          <w:rFonts w:ascii="Calibri" w:hAnsi="Calibri" w:cs="Times New Roman"/>
          <w:color w:val="auto"/>
          <w:sz w:val="20"/>
          <w:szCs w:val="20"/>
        </w:rPr>
        <w:t xml:space="preserve"> </w:t>
      </w:r>
      <w:r w:rsidRPr="001F4304">
        <w:rPr>
          <w:rFonts w:ascii="Calibri" w:hAnsi="Calibri"/>
          <w:color w:val="auto"/>
          <w:sz w:val="20"/>
          <w:szCs w:val="20"/>
        </w:rPr>
        <w:t>Improving the guidance for adjustments under the 1999 Protocol to Abate Acidification, Eutrophication and Ground-level Ozone to emission reduction commitments or to inventories for the purposes of comparing total national emissions with them</w:t>
      </w:r>
    </w:p>
    <w:p w:rsidR="0037036C" w:rsidRPr="0037036C" w:rsidRDefault="0037036C" w:rsidP="008F2045">
      <w:pPr>
        <w:rPr>
          <w:bCs/>
          <w:sz w:val="18"/>
          <w:szCs w:val="20"/>
          <w:lang w:eastAsia="en-GB"/>
        </w:rPr>
      </w:pPr>
      <w:r w:rsidRPr="0037036C">
        <w:rPr>
          <w:sz w:val="20"/>
          <w:szCs w:val="20"/>
        </w:rPr>
        <w:t>EMEP/EEA, 2016</w:t>
      </w:r>
      <w:r w:rsidR="00A46AA0">
        <w:rPr>
          <w:sz w:val="20"/>
          <w:szCs w:val="20"/>
        </w:rPr>
        <w:t xml:space="preserve"> </w:t>
      </w:r>
      <w:r w:rsidRPr="0037036C">
        <w:rPr>
          <w:sz w:val="20"/>
          <w:szCs w:val="20"/>
        </w:rPr>
        <w:t>EMEP/EEA air pollutant emission inventory guidebook – 2016</w:t>
      </w:r>
      <w:r w:rsidR="00A46AA0">
        <w:rPr>
          <w:sz w:val="20"/>
          <w:szCs w:val="20"/>
        </w:rPr>
        <w:t xml:space="preserve"> </w:t>
      </w:r>
      <w:r w:rsidRPr="0037036C">
        <w:rPr>
          <w:sz w:val="20"/>
          <w:szCs w:val="20"/>
        </w:rPr>
        <w:t>EEA technical report No. 21/2016</w:t>
      </w:r>
      <w:r w:rsidR="00A46AA0">
        <w:rPr>
          <w:sz w:val="20"/>
          <w:szCs w:val="20"/>
        </w:rPr>
        <w:t xml:space="preserve"> </w:t>
      </w:r>
      <w:r w:rsidRPr="0037036C">
        <w:rPr>
          <w:sz w:val="20"/>
          <w:szCs w:val="20"/>
        </w:rPr>
        <w:t xml:space="preserve">European Environment Agency, Copenhagen. Available at: </w:t>
      </w:r>
      <w:hyperlink r:id="rId17" w:history="1">
        <w:r w:rsidRPr="0037036C">
          <w:rPr>
            <w:rStyle w:val="Hyperlink"/>
            <w:sz w:val="20"/>
            <w:szCs w:val="20"/>
          </w:rPr>
          <w:t>http://www.eea.europa.eu//publications/emep-eea-guidebook-2016</w:t>
        </w:r>
      </w:hyperlink>
      <w:r w:rsidR="00A46AA0">
        <w:rPr>
          <w:sz w:val="20"/>
          <w:szCs w:val="20"/>
        </w:rPr>
        <w:t xml:space="preserve"> </w:t>
      </w:r>
    </w:p>
    <w:p w:rsidR="008F2045" w:rsidRPr="001F4304" w:rsidRDefault="0037074B" w:rsidP="008F2045">
      <w:pPr>
        <w:rPr>
          <w:bCs/>
          <w:sz w:val="20"/>
          <w:szCs w:val="20"/>
          <w:lang w:eastAsia="en-GB"/>
        </w:rPr>
      </w:pPr>
      <w:r>
        <w:rPr>
          <w:bCs/>
          <w:sz w:val="20"/>
          <w:szCs w:val="20"/>
          <w:lang w:eastAsia="en-GB"/>
        </w:rPr>
        <w:t>E</w:t>
      </w:r>
      <w:r w:rsidR="008F2045" w:rsidRPr="001F4304">
        <w:rPr>
          <w:bCs/>
          <w:sz w:val="20"/>
          <w:szCs w:val="20"/>
          <w:lang w:eastAsia="en-GB"/>
        </w:rPr>
        <w:t>MEP/EEA Air Pollutant Emission Inventory Guidebook 2013</w:t>
      </w:r>
      <w:r w:rsidR="008F2045" w:rsidRPr="001F4304">
        <w:rPr>
          <w:b/>
          <w:bCs/>
          <w:sz w:val="20"/>
          <w:szCs w:val="20"/>
          <w:lang w:eastAsia="en-GB"/>
        </w:rPr>
        <w:br/>
      </w:r>
      <w:hyperlink r:id="rId18" w:history="1">
        <w:r w:rsidR="008F2045" w:rsidRPr="001F4304">
          <w:rPr>
            <w:rStyle w:val="Hyperlink"/>
            <w:bCs/>
            <w:sz w:val="20"/>
            <w:szCs w:val="20"/>
            <w:lang w:eastAsia="en-GB"/>
          </w:rPr>
          <w:t>http://www.eea.europa.eu/publications/emep-eea-guidebook-2013</w:t>
        </w:r>
      </w:hyperlink>
      <w:r w:rsidR="008F2045" w:rsidRPr="001F4304">
        <w:rPr>
          <w:bCs/>
          <w:sz w:val="20"/>
          <w:szCs w:val="20"/>
          <w:lang w:eastAsia="en-GB"/>
        </w:rPr>
        <w:t xml:space="preserve"> </w:t>
      </w:r>
    </w:p>
    <w:p w:rsidR="008F2045" w:rsidRPr="001F4304" w:rsidRDefault="008F2045" w:rsidP="008F2045">
      <w:pPr>
        <w:rPr>
          <w:bCs/>
          <w:sz w:val="20"/>
          <w:szCs w:val="20"/>
        </w:rPr>
      </w:pPr>
      <w:r w:rsidRPr="001F4304">
        <w:rPr>
          <w:bCs/>
          <w:sz w:val="20"/>
          <w:szCs w:val="20"/>
          <w:lang w:eastAsia="en-GB"/>
        </w:rPr>
        <w:t>EMEP/CORINAIR Air Pollutant Emission Inventory Guidebook 1999, 2</w:t>
      </w:r>
      <w:r w:rsidRPr="001F4304">
        <w:rPr>
          <w:bCs/>
          <w:sz w:val="20"/>
          <w:szCs w:val="20"/>
          <w:vertAlign w:val="superscript"/>
          <w:lang w:eastAsia="en-GB"/>
        </w:rPr>
        <w:t>nd</w:t>
      </w:r>
      <w:r w:rsidRPr="001F4304">
        <w:rPr>
          <w:bCs/>
          <w:sz w:val="20"/>
          <w:szCs w:val="20"/>
          <w:lang w:eastAsia="en-GB"/>
        </w:rPr>
        <w:t xml:space="preserve"> edition </w:t>
      </w:r>
      <w:hyperlink r:id="rId19" w:history="1">
        <w:r w:rsidRPr="001F4304">
          <w:rPr>
            <w:rStyle w:val="Hyperlink"/>
            <w:bCs/>
            <w:sz w:val="20"/>
            <w:szCs w:val="20"/>
          </w:rPr>
          <w:t>http://www.eea.europa.eu//publications/EMEPCORINAIR</w:t>
        </w:r>
      </w:hyperlink>
    </w:p>
    <w:p w:rsidR="008F2045" w:rsidRPr="001F4304" w:rsidRDefault="008F2045" w:rsidP="008F2045">
      <w:pPr>
        <w:rPr>
          <w:sz w:val="20"/>
          <w:szCs w:val="20"/>
        </w:rPr>
      </w:pPr>
      <w:r w:rsidRPr="001F4304">
        <w:rPr>
          <w:bCs/>
          <w:sz w:val="20"/>
          <w:szCs w:val="20"/>
        </w:rPr>
        <w:t>2014 Reporting Guidelines</w:t>
      </w:r>
      <w:r w:rsidRPr="001F4304">
        <w:rPr>
          <w:b/>
          <w:bCs/>
          <w:sz w:val="20"/>
          <w:szCs w:val="20"/>
        </w:rPr>
        <w:t xml:space="preserve"> (</w:t>
      </w:r>
      <w:r w:rsidRPr="001F4304">
        <w:rPr>
          <w:bCs/>
          <w:sz w:val="20"/>
          <w:szCs w:val="20"/>
        </w:rPr>
        <w:t>ECE/EB.AIR/</w:t>
      </w:r>
      <w:r w:rsidR="00C90CB4" w:rsidRPr="001F4304">
        <w:rPr>
          <w:bCs/>
          <w:sz w:val="20"/>
          <w:szCs w:val="20"/>
        </w:rPr>
        <w:t>125</w:t>
      </w:r>
      <w:r w:rsidR="00C90CB4">
        <w:rPr>
          <w:bCs/>
          <w:sz w:val="20"/>
          <w:szCs w:val="20"/>
        </w:rPr>
        <w:t>)</w:t>
      </w:r>
      <w:r w:rsidRPr="001F4304">
        <w:rPr>
          <w:bCs/>
          <w:sz w:val="20"/>
          <w:szCs w:val="20"/>
        </w:rPr>
        <w:t xml:space="preserve"> </w:t>
      </w:r>
      <w:r w:rsidRPr="001F4304">
        <w:rPr>
          <w:sz w:val="20"/>
          <w:szCs w:val="20"/>
        </w:rPr>
        <w:t xml:space="preserve">for Estimating and Reporting Emission Data under CLRTAP </w:t>
      </w:r>
      <w:hyperlink r:id="rId20" w:history="1">
        <w:r w:rsidRPr="001F4304">
          <w:rPr>
            <w:rStyle w:val="Hyperlink"/>
            <w:sz w:val="20"/>
            <w:szCs w:val="20"/>
          </w:rPr>
          <w:t>http://www.ceip.at/ms/ceip_home1/ceip_home/reporting_instructions/</w:t>
        </w:r>
      </w:hyperlink>
      <w:r w:rsidRPr="001F4304">
        <w:rPr>
          <w:sz w:val="20"/>
          <w:szCs w:val="20"/>
        </w:rPr>
        <w:t xml:space="preserve"> </w:t>
      </w:r>
    </w:p>
    <w:p w:rsidR="008F2045" w:rsidRDefault="008F2045" w:rsidP="008F2045">
      <w:pPr>
        <w:rPr>
          <w:sz w:val="20"/>
          <w:szCs w:val="20"/>
        </w:rPr>
      </w:pPr>
      <w:r w:rsidRPr="001F4304">
        <w:rPr>
          <w:sz w:val="20"/>
          <w:szCs w:val="20"/>
        </w:rPr>
        <w:t>ECE/EB.AIR/130: Technical Guidance for Parties Making Adjustment Applications and for the Expert Review of Adjustment Applications, 14 April 2015</w:t>
      </w:r>
      <w:r w:rsidR="0037074B">
        <w:rPr>
          <w:sz w:val="20"/>
          <w:szCs w:val="20"/>
        </w:rPr>
        <w:t xml:space="preserve"> </w:t>
      </w:r>
      <w:hyperlink r:id="rId21" w:history="1">
        <w:r w:rsidR="0037074B" w:rsidRPr="00705C12">
          <w:rPr>
            <w:rStyle w:val="Hyperlink"/>
            <w:bCs/>
            <w:sz w:val="20"/>
            <w:szCs w:val="20"/>
          </w:rPr>
          <w:t>http://www.ceip.at/fileadmin/inhalte/emep/Adjustments/ECE_EB_AIR_130_AV_for_the_web.pdf</w:t>
        </w:r>
      </w:hyperlink>
      <w:r w:rsidR="00A46AA0">
        <w:rPr>
          <w:bCs/>
          <w:sz w:val="20"/>
          <w:szCs w:val="20"/>
        </w:rPr>
        <w:t xml:space="preserve"> </w:t>
      </w:r>
    </w:p>
    <w:p w:rsidR="001F4304" w:rsidRPr="001F4304" w:rsidRDefault="001F4304" w:rsidP="001F4304">
      <w:pPr>
        <w:rPr>
          <w:sz w:val="20"/>
          <w:szCs w:val="20"/>
          <w:lang w:eastAsia="en-GB"/>
        </w:rPr>
      </w:pPr>
      <w:r w:rsidRPr="00C3494F">
        <w:rPr>
          <w:bCs/>
          <w:sz w:val="20"/>
        </w:rPr>
        <w:t>NEC</w:t>
      </w:r>
      <w:r w:rsidR="008365C6" w:rsidRPr="00C3494F">
        <w:rPr>
          <w:bCs/>
          <w:sz w:val="20"/>
        </w:rPr>
        <w:t xml:space="preserve"> </w:t>
      </w:r>
      <w:r w:rsidRPr="00C3494F">
        <w:rPr>
          <w:bCs/>
          <w:sz w:val="20"/>
        </w:rPr>
        <w:t>Directive</w:t>
      </w:r>
      <w:r w:rsidR="008365C6" w:rsidRPr="00C3494F">
        <w:rPr>
          <w:bCs/>
          <w:sz w:val="20"/>
        </w:rPr>
        <w:t xml:space="preserve"> </w:t>
      </w:r>
      <w:r w:rsidRPr="00C3494F">
        <w:rPr>
          <w:bCs/>
          <w:sz w:val="20"/>
        </w:rPr>
        <w:t>2001</w:t>
      </w:r>
      <w:r w:rsidR="00015889">
        <w:rPr>
          <w:bCs/>
          <w:sz w:val="20"/>
        </w:rPr>
        <w:t xml:space="preserve">, </w:t>
      </w:r>
      <w:r w:rsidRPr="001F4304">
        <w:rPr>
          <w:rFonts w:cs="Times New Roman"/>
          <w:bCs/>
          <w:sz w:val="20"/>
          <w:szCs w:val="20"/>
        </w:rPr>
        <w:t xml:space="preserve">DIRECTIVE 2001/81/EC OF THE EUROPEAN PARLIAMENT AND OF THE COUNCIL ,of 23 October 2001 </w:t>
      </w:r>
      <w:r w:rsidRPr="001F4304">
        <w:rPr>
          <w:bCs/>
          <w:sz w:val="20"/>
          <w:szCs w:val="20"/>
        </w:rPr>
        <w:t>on national emission ceilings for certain atmospheric pollutants</w:t>
      </w:r>
      <w:r w:rsidRPr="001F4304">
        <w:rPr>
          <w:bCs/>
          <w:sz w:val="20"/>
          <w:szCs w:val="20"/>
        </w:rPr>
        <w:br/>
      </w:r>
      <w:hyperlink r:id="rId22" w:history="1">
        <w:r w:rsidRPr="001F4304">
          <w:rPr>
            <w:rStyle w:val="Hyperlink"/>
            <w:sz w:val="20"/>
            <w:szCs w:val="20"/>
          </w:rPr>
          <w:t>http://eur-lex.europa.eu/legal-content/EN/TXT/PDF/?uri=CELEX:02001L0081-20130701&amp;from=EN</w:t>
        </w:r>
      </w:hyperlink>
    </w:p>
    <w:p w:rsidR="0037036C" w:rsidRPr="0037036C" w:rsidRDefault="0037036C" w:rsidP="0037036C">
      <w:pPr>
        <w:rPr>
          <w:bCs/>
          <w:sz w:val="20"/>
          <w:szCs w:val="20"/>
        </w:rPr>
      </w:pPr>
      <w:r w:rsidRPr="0037036C">
        <w:rPr>
          <w:bCs/>
          <w:sz w:val="20"/>
          <w:szCs w:val="20"/>
        </w:rPr>
        <w:t xml:space="preserve">NEC Directive 2016, DIRECTIVE (EU) 2016/2284 OF THE EUROPEAN PARLIAMENT AND OF THE COUNCIL of 14 December 2016 on the reduction of national emissions of certain atmospheric pollutants, amending Directive 2003/35/EC and repealing Directive 2001/81/EC. </w:t>
      </w:r>
      <w:hyperlink r:id="rId23" w:history="1">
        <w:r w:rsidR="00015889" w:rsidRPr="003317C2">
          <w:rPr>
            <w:rStyle w:val="Hyperlink"/>
            <w:sz w:val="20"/>
            <w:szCs w:val="20"/>
          </w:rPr>
          <w:t>http://eur-lex.europa.eu/legal-content/EN/TXT/?uri=uriserv%3AOJ.L_.2016.344.01.0001.01.ENG</w:t>
        </w:r>
      </w:hyperlink>
      <w:r w:rsidR="00015889">
        <w:rPr>
          <w:bCs/>
          <w:sz w:val="20"/>
          <w:szCs w:val="20"/>
        </w:rPr>
        <w:t xml:space="preserve"> </w:t>
      </w:r>
    </w:p>
    <w:p w:rsidR="004C4E9B" w:rsidRPr="0037036C" w:rsidRDefault="0037074B" w:rsidP="0037036C">
      <w:pPr>
        <w:rPr>
          <w:bCs/>
          <w:sz w:val="20"/>
          <w:szCs w:val="20"/>
        </w:rPr>
      </w:pPr>
      <w:r>
        <w:rPr>
          <w:bCs/>
          <w:sz w:val="20"/>
          <w:szCs w:val="20"/>
        </w:rPr>
        <w:t xml:space="preserve"> </w:t>
      </w:r>
    </w:p>
    <w:sectPr w:rsidR="004C4E9B" w:rsidRPr="0037036C" w:rsidSect="00C2254F">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77" w:rsidRDefault="00BC6C77" w:rsidP="00892E68">
      <w:pPr>
        <w:spacing w:after="0" w:line="240" w:lineRule="auto"/>
      </w:pPr>
      <w:r>
        <w:separator/>
      </w:r>
    </w:p>
  </w:endnote>
  <w:endnote w:type="continuationSeparator" w:id="0">
    <w:p w:rsidR="00BC6C77" w:rsidRDefault="00BC6C77" w:rsidP="0089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944601"/>
      <w:docPartObj>
        <w:docPartGallery w:val="Page Numbers (Bottom of Page)"/>
        <w:docPartUnique/>
      </w:docPartObj>
    </w:sdtPr>
    <w:sdtEndPr>
      <w:rPr>
        <w:noProof/>
      </w:rPr>
    </w:sdtEndPr>
    <w:sdtContent>
      <w:p w:rsidR="00171602" w:rsidRDefault="00171602" w:rsidP="00892E68">
        <w:pPr>
          <w:pStyle w:val="Footer"/>
          <w:jc w:val="center"/>
        </w:pPr>
        <w:r>
          <w:fldChar w:fldCharType="begin"/>
        </w:r>
        <w:r>
          <w:instrText xml:space="preserve"> PAGE   \* MERGEFORMAT </w:instrText>
        </w:r>
        <w:r>
          <w:fldChar w:fldCharType="separate"/>
        </w:r>
        <w:r w:rsidR="00BC15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77" w:rsidRDefault="00BC6C77" w:rsidP="00892E68">
      <w:pPr>
        <w:spacing w:after="0" w:line="240" w:lineRule="auto"/>
      </w:pPr>
      <w:r>
        <w:separator/>
      </w:r>
    </w:p>
  </w:footnote>
  <w:footnote w:type="continuationSeparator" w:id="0">
    <w:p w:rsidR="00BC6C77" w:rsidRDefault="00BC6C77" w:rsidP="00892E68">
      <w:pPr>
        <w:spacing w:after="0" w:line="240" w:lineRule="auto"/>
      </w:pPr>
      <w:r>
        <w:continuationSeparator/>
      </w:r>
    </w:p>
  </w:footnote>
  <w:footnote w:id="1">
    <w:p w:rsidR="00171602" w:rsidRDefault="00171602">
      <w:pPr>
        <w:pStyle w:val="FootnoteText"/>
      </w:pPr>
      <w:r>
        <w:rPr>
          <w:rStyle w:val="FootnoteReference"/>
        </w:rPr>
        <w:footnoteRef/>
      </w:r>
      <w:hyperlink r:id="rId1" w:history="1">
        <w:r w:rsidRPr="00CB0B4B">
          <w:rPr>
            <w:rStyle w:val="Hyperlink"/>
          </w:rPr>
          <w:t>http://www.ceip.at/fileadmin/inhalte/emep/Adjustments/ECE_EB_AIR_130_AV_for_the_web.pdf</w:t>
        </w:r>
      </w:hyperlink>
      <w:r>
        <w:t xml:space="preserve">  </w:t>
      </w:r>
    </w:p>
  </w:footnote>
  <w:footnote w:id="2">
    <w:p w:rsidR="00171602" w:rsidRDefault="00171602" w:rsidP="00426E63">
      <w:pPr>
        <w:pStyle w:val="FootnoteText"/>
      </w:pPr>
      <w:r>
        <w:rPr>
          <w:rStyle w:val="FootnoteReference"/>
        </w:rPr>
        <w:footnoteRef/>
      </w:r>
      <w:r>
        <w:t xml:space="preserve"> </w:t>
      </w:r>
      <w:r w:rsidRPr="000973B0">
        <w:t>DIRECTIVE (EU) 2016/2284 OF THE EUROPEAN PARLIAMENT AND OF THE COUNCIL of 14 December 2016 on the reduction of national emissions of certain atmospheric pollutants, amending Directive 2003/35/EC and repealing Directive 2001/81/EC</w:t>
      </w:r>
    </w:p>
  </w:footnote>
  <w:footnote w:id="3">
    <w:p w:rsidR="00171602" w:rsidRDefault="00171602" w:rsidP="00277603">
      <w:pPr>
        <w:pStyle w:val="FootnoteText"/>
      </w:pPr>
      <w:r>
        <w:rPr>
          <w:rStyle w:val="FootnoteReference"/>
        </w:rPr>
        <w:footnoteRef/>
      </w:r>
      <w:r>
        <w:t xml:space="preserve"> </w:t>
      </w:r>
      <w:r w:rsidRPr="00EB686E">
        <w:t>The tables presented in this report show numbers rounded to three decimal places, although most numbers are available with greater prec</w:t>
      </w:r>
      <w:r>
        <w:t xml:space="preserve">ision. For all calculations, </w:t>
      </w:r>
      <w:r w:rsidRPr="00EB686E">
        <w:t>all available decimal places were used. Therefore, the totals shown may slightly differ from calculation results where only three decimals would be taken into account.</w:t>
      </w:r>
    </w:p>
  </w:footnote>
  <w:footnote w:id="4">
    <w:p w:rsidR="00171602" w:rsidRDefault="00171602" w:rsidP="00D866CE">
      <w:pPr>
        <w:pStyle w:val="FootnoteText"/>
      </w:pPr>
      <w:r>
        <w:rPr>
          <w:rStyle w:val="FootnoteReference"/>
        </w:rPr>
        <w:footnoteRef/>
      </w:r>
      <w:r>
        <w:t xml:space="preserve"> See the following overview and guidance documentation: </w:t>
      </w:r>
      <w:r w:rsidRPr="004B35E5">
        <w:t>ECE/EB.AIR/111/Add.1, ECE/EB.AIR/113/Add.1, ECE/AB.AIR/127/Add.1 and ECE/EB.AIR/130)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5E1"/>
    <w:multiLevelType w:val="multilevel"/>
    <w:tmpl w:val="5538BF72"/>
    <w:lvl w:ilvl="0">
      <w:start w:val="1"/>
      <w:numFmt w:val="upperRoman"/>
      <w:pStyle w:val="Heading1"/>
      <w:suff w:val="space"/>
      <w:lvlText w:val="%1"/>
      <w:lvlJc w:val="left"/>
      <w:pPr>
        <w:ind w:left="360" w:hanging="360"/>
      </w:pPr>
      <w:rPr>
        <w:rFonts w:hint="default"/>
      </w:rPr>
    </w:lvl>
    <w:lvl w:ilvl="1">
      <w:start w:val="1"/>
      <w:numFmt w:val="lowerRoman"/>
      <w:pStyle w:val="Heading2"/>
      <w:suff w:val="space"/>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FB3093"/>
    <w:multiLevelType w:val="hybridMultilevel"/>
    <w:tmpl w:val="0BFAE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845CC"/>
    <w:multiLevelType w:val="hybridMultilevel"/>
    <w:tmpl w:val="BCE41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6F6232"/>
    <w:multiLevelType w:val="hybridMultilevel"/>
    <w:tmpl w:val="70F26F74"/>
    <w:lvl w:ilvl="0" w:tplc="3C24A3E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61BB0"/>
    <w:multiLevelType w:val="multilevel"/>
    <w:tmpl w:val="D8528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6D33CE"/>
    <w:multiLevelType w:val="hybridMultilevel"/>
    <w:tmpl w:val="9332917C"/>
    <w:lvl w:ilvl="0" w:tplc="07ACA74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0C702B"/>
    <w:multiLevelType w:val="multilevel"/>
    <w:tmpl w:val="A7ACEB4E"/>
    <w:lvl w:ilvl="0">
      <w:start w:val="1"/>
      <w:numFmt w:val="decimal"/>
      <w:pStyle w:val="Heading1Aeth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DC248AE"/>
    <w:multiLevelType w:val="hybridMultilevel"/>
    <w:tmpl w:val="007CDC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FD358F"/>
    <w:multiLevelType w:val="multilevel"/>
    <w:tmpl w:val="75385838"/>
    <w:lvl w:ilvl="0">
      <w:start w:val="1"/>
      <w:numFmt w:val="upperRoman"/>
      <w:suff w:val="space"/>
      <w:lvlText w:val="%1"/>
      <w:lvlJc w:val="left"/>
      <w:pPr>
        <w:ind w:left="360" w:hanging="360"/>
      </w:pPr>
      <w:rPr>
        <w:rFonts w:hint="default"/>
      </w:rPr>
    </w:lvl>
    <w:lvl w:ilvl="1">
      <w:start w:val="1"/>
      <w:numFmt w:val="lowerRoman"/>
      <w:suff w:val="spac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8C28A2"/>
    <w:multiLevelType w:val="hybridMultilevel"/>
    <w:tmpl w:val="0D860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25B83"/>
    <w:multiLevelType w:val="hybridMultilevel"/>
    <w:tmpl w:val="FCDAB9D0"/>
    <w:lvl w:ilvl="0" w:tplc="0407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B01BF0"/>
    <w:multiLevelType w:val="hybridMultilevel"/>
    <w:tmpl w:val="02249D30"/>
    <w:lvl w:ilvl="0" w:tplc="E258EE06">
      <w:start w:val="1"/>
      <w:numFmt w:val="decimal"/>
      <w:pStyle w:val="StandardNum"/>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4202A"/>
    <w:multiLevelType w:val="multilevel"/>
    <w:tmpl w:val="EE643076"/>
    <w:name w:val="Reg96"/>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num w:numId="1">
    <w:abstractNumId w:val="9"/>
  </w:num>
  <w:num w:numId="2">
    <w:abstractNumId w:val="2"/>
  </w:num>
  <w:num w:numId="3">
    <w:abstractNumId w:val="11"/>
  </w:num>
  <w:num w:numId="4">
    <w:abstractNumId w:val="6"/>
  </w:num>
  <w:num w:numId="5">
    <w:abstractNumId w:val="12"/>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8"/>
  </w:num>
  <w:num w:numId="18">
    <w:abstractNumId w:val="11"/>
  </w:num>
  <w:num w:numId="19">
    <w:abstractNumId w:val="11"/>
  </w:num>
  <w:num w:numId="20">
    <w:abstractNumId w:val="1"/>
  </w:num>
  <w:num w:numId="21">
    <w:abstractNumId w:val="10"/>
  </w:num>
  <w:num w:numId="22">
    <w:abstractNumId w:val="5"/>
  </w:num>
  <w:num w:numId="23">
    <w:abstractNumId w:val="6"/>
  </w:num>
  <w:num w:numId="24">
    <w:abstractNumId w:val="6"/>
  </w:num>
  <w:num w:numId="25">
    <w:abstractNumId w:val="6"/>
  </w:num>
  <w:num w:numId="26">
    <w:abstractNumId w:val="6"/>
  </w:num>
  <w:num w:numId="27">
    <w:abstractNumId w:val="6"/>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257A4"/>
    <w:rsid w:val="000115E4"/>
    <w:rsid w:val="00015631"/>
    <w:rsid w:val="00015889"/>
    <w:rsid w:val="0001599C"/>
    <w:rsid w:val="000159C9"/>
    <w:rsid w:val="000200CB"/>
    <w:rsid w:val="00026B35"/>
    <w:rsid w:val="00036B76"/>
    <w:rsid w:val="000424AE"/>
    <w:rsid w:val="000458D5"/>
    <w:rsid w:val="000528C0"/>
    <w:rsid w:val="000546B7"/>
    <w:rsid w:val="00060607"/>
    <w:rsid w:val="00077BCE"/>
    <w:rsid w:val="00083995"/>
    <w:rsid w:val="000973B0"/>
    <w:rsid w:val="000A1817"/>
    <w:rsid w:val="000C0271"/>
    <w:rsid w:val="000C06D7"/>
    <w:rsid w:val="000C26DC"/>
    <w:rsid w:val="000C4ABC"/>
    <w:rsid w:val="000C5BEF"/>
    <w:rsid w:val="000D0A42"/>
    <w:rsid w:val="000D2AD9"/>
    <w:rsid w:val="000E1E8F"/>
    <w:rsid w:val="00102BA0"/>
    <w:rsid w:val="0012034B"/>
    <w:rsid w:val="00121DC5"/>
    <w:rsid w:val="00124CA1"/>
    <w:rsid w:val="00131D21"/>
    <w:rsid w:val="0014045C"/>
    <w:rsid w:val="001553E9"/>
    <w:rsid w:val="00171602"/>
    <w:rsid w:val="001719D7"/>
    <w:rsid w:val="001736D9"/>
    <w:rsid w:val="00177D3E"/>
    <w:rsid w:val="0018116B"/>
    <w:rsid w:val="00186B2A"/>
    <w:rsid w:val="00190B13"/>
    <w:rsid w:val="001970B5"/>
    <w:rsid w:val="001A3EE2"/>
    <w:rsid w:val="001A5034"/>
    <w:rsid w:val="001A69EA"/>
    <w:rsid w:val="001B08B4"/>
    <w:rsid w:val="001C0572"/>
    <w:rsid w:val="001C56B7"/>
    <w:rsid w:val="001C6346"/>
    <w:rsid w:val="001D176A"/>
    <w:rsid w:val="001D5FC7"/>
    <w:rsid w:val="001E31EC"/>
    <w:rsid w:val="001E414D"/>
    <w:rsid w:val="001E62DB"/>
    <w:rsid w:val="001E67D0"/>
    <w:rsid w:val="001E7222"/>
    <w:rsid w:val="001F2267"/>
    <w:rsid w:val="001F4304"/>
    <w:rsid w:val="001F4C43"/>
    <w:rsid w:val="001F5DA2"/>
    <w:rsid w:val="001F64A8"/>
    <w:rsid w:val="00200596"/>
    <w:rsid w:val="0020219F"/>
    <w:rsid w:val="00204246"/>
    <w:rsid w:val="00206454"/>
    <w:rsid w:val="00207111"/>
    <w:rsid w:val="0020719F"/>
    <w:rsid w:val="0021004A"/>
    <w:rsid w:val="00216EAF"/>
    <w:rsid w:val="002276E5"/>
    <w:rsid w:val="00230399"/>
    <w:rsid w:val="002347D5"/>
    <w:rsid w:val="00243F76"/>
    <w:rsid w:val="002470C1"/>
    <w:rsid w:val="00257AF2"/>
    <w:rsid w:val="00263C8D"/>
    <w:rsid w:val="002750E2"/>
    <w:rsid w:val="00277603"/>
    <w:rsid w:val="00287BF8"/>
    <w:rsid w:val="00291847"/>
    <w:rsid w:val="00292E5A"/>
    <w:rsid w:val="00293307"/>
    <w:rsid w:val="0029576C"/>
    <w:rsid w:val="00295DFE"/>
    <w:rsid w:val="002A02B6"/>
    <w:rsid w:val="002A02FA"/>
    <w:rsid w:val="002A4232"/>
    <w:rsid w:val="002A43A2"/>
    <w:rsid w:val="002B0131"/>
    <w:rsid w:val="002E512F"/>
    <w:rsid w:val="002E541D"/>
    <w:rsid w:val="002E59F9"/>
    <w:rsid w:val="002F458D"/>
    <w:rsid w:val="00300646"/>
    <w:rsid w:val="0030380D"/>
    <w:rsid w:val="00305554"/>
    <w:rsid w:val="0030617C"/>
    <w:rsid w:val="003178CB"/>
    <w:rsid w:val="003204F3"/>
    <w:rsid w:val="003242C0"/>
    <w:rsid w:val="00324836"/>
    <w:rsid w:val="00326918"/>
    <w:rsid w:val="00326FC4"/>
    <w:rsid w:val="00334D36"/>
    <w:rsid w:val="00340633"/>
    <w:rsid w:val="003539A0"/>
    <w:rsid w:val="00355EF9"/>
    <w:rsid w:val="00356ABA"/>
    <w:rsid w:val="00360DBC"/>
    <w:rsid w:val="00361247"/>
    <w:rsid w:val="00361392"/>
    <w:rsid w:val="00362FF7"/>
    <w:rsid w:val="00365088"/>
    <w:rsid w:val="003653E0"/>
    <w:rsid w:val="0037036C"/>
    <w:rsid w:val="0037074B"/>
    <w:rsid w:val="00371671"/>
    <w:rsid w:val="003723C4"/>
    <w:rsid w:val="00372761"/>
    <w:rsid w:val="0038552E"/>
    <w:rsid w:val="00392B54"/>
    <w:rsid w:val="003947D7"/>
    <w:rsid w:val="003A0972"/>
    <w:rsid w:val="003A1C2C"/>
    <w:rsid w:val="003A3844"/>
    <w:rsid w:val="003A39EA"/>
    <w:rsid w:val="003A4FE8"/>
    <w:rsid w:val="003A713D"/>
    <w:rsid w:val="003B146F"/>
    <w:rsid w:val="003B3F4E"/>
    <w:rsid w:val="003B5428"/>
    <w:rsid w:val="003C4FF6"/>
    <w:rsid w:val="003D4D4C"/>
    <w:rsid w:val="003D7EB7"/>
    <w:rsid w:val="003E033C"/>
    <w:rsid w:val="003E41CA"/>
    <w:rsid w:val="003F18FA"/>
    <w:rsid w:val="003F409A"/>
    <w:rsid w:val="003F7555"/>
    <w:rsid w:val="003F7EDC"/>
    <w:rsid w:val="0040571B"/>
    <w:rsid w:val="00421BDA"/>
    <w:rsid w:val="0042229F"/>
    <w:rsid w:val="00423A88"/>
    <w:rsid w:val="00426E63"/>
    <w:rsid w:val="004314E0"/>
    <w:rsid w:val="00432983"/>
    <w:rsid w:val="00434697"/>
    <w:rsid w:val="00446FA2"/>
    <w:rsid w:val="0045164D"/>
    <w:rsid w:val="00453ED0"/>
    <w:rsid w:val="004608FA"/>
    <w:rsid w:val="00476E71"/>
    <w:rsid w:val="004863E6"/>
    <w:rsid w:val="004925D6"/>
    <w:rsid w:val="00492A2E"/>
    <w:rsid w:val="00493C59"/>
    <w:rsid w:val="00495483"/>
    <w:rsid w:val="00495FD0"/>
    <w:rsid w:val="00496C95"/>
    <w:rsid w:val="00497A0E"/>
    <w:rsid w:val="004A02DA"/>
    <w:rsid w:val="004A7660"/>
    <w:rsid w:val="004C044C"/>
    <w:rsid w:val="004C0472"/>
    <w:rsid w:val="004C4E9B"/>
    <w:rsid w:val="004C79F2"/>
    <w:rsid w:val="004D7B72"/>
    <w:rsid w:val="004E2727"/>
    <w:rsid w:val="004E756A"/>
    <w:rsid w:val="004F4200"/>
    <w:rsid w:val="00501479"/>
    <w:rsid w:val="00503626"/>
    <w:rsid w:val="00506300"/>
    <w:rsid w:val="00510C6A"/>
    <w:rsid w:val="005122C6"/>
    <w:rsid w:val="005236FB"/>
    <w:rsid w:val="00542D17"/>
    <w:rsid w:val="00543F64"/>
    <w:rsid w:val="00545005"/>
    <w:rsid w:val="0056200B"/>
    <w:rsid w:val="00562CD4"/>
    <w:rsid w:val="00563734"/>
    <w:rsid w:val="00567182"/>
    <w:rsid w:val="005737FB"/>
    <w:rsid w:val="00574062"/>
    <w:rsid w:val="0057457C"/>
    <w:rsid w:val="0058786F"/>
    <w:rsid w:val="005917AD"/>
    <w:rsid w:val="005936B3"/>
    <w:rsid w:val="00596509"/>
    <w:rsid w:val="005969F8"/>
    <w:rsid w:val="00597452"/>
    <w:rsid w:val="005A30AF"/>
    <w:rsid w:val="005B0E5C"/>
    <w:rsid w:val="005B2CF9"/>
    <w:rsid w:val="005B4318"/>
    <w:rsid w:val="005B7874"/>
    <w:rsid w:val="005C228E"/>
    <w:rsid w:val="005C3836"/>
    <w:rsid w:val="005C69BA"/>
    <w:rsid w:val="005D43B2"/>
    <w:rsid w:val="005E063E"/>
    <w:rsid w:val="005E3005"/>
    <w:rsid w:val="005F0715"/>
    <w:rsid w:val="005F3477"/>
    <w:rsid w:val="00600D71"/>
    <w:rsid w:val="00601A47"/>
    <w:rsid w:val="00614604"/>
    <w:rsid w:val="0061481E"/>
    <w:rsid w:val="006167C9"/>
    <w:rsid w:val="0061682F"/>
    <w:rsid w:val="00617715"/>
    <w:rsid w:val="006200FE"/>
    <w:rsid w:val="006314DA"/>
    <w:rsid w:val="0063378A"/>
    <w:rsid w:val="00635C20"/>
    <w:rsid w:val="0063784C"/>
    <w:rsid w:val="00641D49"/>
    <w:rsid w:val="0065196E"/>
    <w:rsid w:val="00651D5D"/>
    <w:rsid w:val="00655C04"/>
    <w:rsid w:val="00656E7A"/>
    <w:rsid w:val="006576EB"/>
    <w:rsid w:val="00660746"/>
    <w:rsid w:val="00684412"/>
    <w:rsid w:val="00685701"/>
    <w:rsid w:val="006913C3"/>
    <w:rsid w:val="006942D8"/>
    <w:rsid w:val="006951EC"/>
    <w:rsid w:val="00697FB0"/>
    <w:rsid w:val="006A2E8B"/>
    <w:rsid w:val="006A4812"/>
    <w:rsid w:val="006B0A3F"/>
    <w:rsid w:val="006B0B91"/>
    <w:rsid w:val="006E1721"/>
    <w:rsid w:val="006E5A6C"/>
    <w:rsid w:val="006E7843"/>
    <w:rsid w:val="006F69FD"/>
    <w:rsid w:val="006F6ABD"/>
    <w:rsid w:val="00705D8C"/>
    <w:rsid w:val="00710C4F"/>
    <w:rsid w:val="007127D0"/>
    <w:rsid w:val="00725799"/>
    <w:rsid w:val="007268D2"/>
    <w:rsid w:val="00727025"/>
    <w:rsid w:val="007273D7"/>
    <w:rsid w:val="00760A6C"/>
    <w:rsid w:val="00761536"/>
    <w:rsid w:val="00765943"/>
    <w:rsid w:val="00765FDB"/>
    <w:rsid w:val="0076686C"/>
    <w:rsid w:val="00767530"/>
    <w:rsid w:val="00770773"/>
    <w:rsid w:val="007745F5"/>
    <w:rsid w:val="00780422"/>
    <w:rsid w:val="00781E9F"/>
    <w:rsid w:val="00786BA0"/>
    <w:rsid w:val="00793373"/>
    <w:rsid w:val="007944DE"/>
    <w:rsid w:val="00794535"/>
    <w:rsid w:val="007A28F0"/>
    <w:rsid w:val="007A64DC"/>
    <w:rsid w:val="007B211D"/>
    <w:rsid w:val="007B5482"/>
    <w:rsid w:val="007B7633"/>
    <w:rsid w:val="007B79BB"/>
    <w:rsid w:val="007C1E75"/>
    <w:rsid w:val="007C4027"/>
    <w:rsid w:val="007C5785"/>
    <w:rsid w:val="007D173D"/>
    <w:rsid w:val="007D2D88"/>
    <w:rsid w:val="007D5B60"/>
    <w:rsid w:val="007D7451"/>
    <w:rsid w:val="007E1F57"/>
    <w:rsid w:val="007E5D9D"/>
    <w:rsid w:val="007E6B95"/>
    <w:rsid w:val="007F5628"/>
    <w:rsid w:val="00800F2F"/>
    <w:rsid w:val="00802162"/>
    <w:rsid w:val="0080231D"/>
    <w:rsid w:val="00810A1F"/>
    <w:rsid w:val="00816A2F"/>
    <w:rsid w:val="00830AC7"/>
    <w:rsid w:val="00830BFB"/>
    <w:rsid w:val="00832670"/>
    <w:rsid w:val="008365C6"/>
    <w:rsid w:val="008379B0"/>
    <w:rsid w:val="00841975"/>
    <w:rsid w:val="00845175"/>
    <w:rsid w:val="00846216"/>
    <w:rsid w:val="008555E4"/>
    <w:rsid w:val="00857904"/>
    <w:rsid w:val="00857A97"/>
    <w:rsid w:val="00860691"/>
    <w:rsid w:val="00861613"/>
    <w:rsid w:val="00862F20"/>
    <w:rsid w:val="0086344B"/>
    <w:rsid w:val="00872247"/>
    <w:rsid w:val="00884017"/>
    <w:rsid w:val="008853B7"/>
    <w:rsid w:val="008906A7"/>
    <w:rsid w:val="00892E68"/>
    <w:rsid w:val="008945B5"/>
    <w:rsid w:val="008A1550"/>
    <w:rsid w:val="008A5AB3"/>
    <w:rsid w:val="008B685F"/>
    <w:rsid w:val="008C64C0"/>
    <w:rsid w:val="008D264B"/>
    <w:rsid w:val="008D295A"/>
    <w:rsid w:val="008E0F45"/>
    <w:rsid w:val="008E3A26"/>
    <w:rsid w:val="008E45B8"/>
    <w:rsid w:val="008E4D62"/>
    <w:rsid w:val="008F2045"/>
    <w:rsid w:val="008F67A4"/>
    <w:rsid w:val="008F6ADA"/>
    <w:rsid w:val="0090395E"/>
    <w:rsid w:val="009055D5"/>
    <w:rsid w:val="009134A7"/>
    <w:rsid w:val="00922224"/>
    <w:rsid w:val="00927558"/>
    <w:rsid w:val="00927DB1"/>
    <w:rsid w:val="00927E18"/>
    <w:rsid w:val="009352F7"/>
    <w:rsid w:val="00936F2F"/>
    <w:rsid w:val="00941FD4"/>
    <w:rsid w:val="00945B0C"/>
    <w:rsid w:val="0095343F"/>
    <w:rsid w:val="00965EA7"/>
    <w:rsid w:val="00974118"/>
    <w:rsid w:val="009801A9"/>
    <w:rsid w:val="00982919"/>
    <w:rsid w:val="00983863"/>
    <w:rsid w:val="009856F2"/>
    <w:rsid w:val="00995877"/>
    <w:rsid w:val="009A3CD4"/>
    <w:rsid w:val="009A532C"/>
    <w:rsid w:val="009A5EF6"/>
    <w:rsid w:val="009A7507"/>
    <w:rsid w:val="009B1B76"/>
    <w:rsid w:val="009B7810"/>
    <w:rsid w:val="009C281E"/>
    <w:rsid w:val="009C71BF"/>
    <w:rsid w:val="009D157A"/>
    <w:rsid w:val="009E3820"/>
    <w:rsid w:val="009E3CE4"/>
    <w:rsid w:val="009F44B2"/>
    <w:rsid w:val="00A023E0"/>
    <w:rsid w:val="00A054EA"/>
    <w:rsid w:val="00A06753"/>
    <w:rsid w:val="00A1559D"/>
    <w:rsid w:val="00A202B1"/>
    <w:rsid w:val="00A214EF"/>
    <w:rsid w:val="00A27018"/>
    <w:rsid w:val="00A3050E"/>
    <w:rsid w:val="00A371FE"/>
    <w:rsid w:val="00A41247"/>
    <w:rsid w:val="00A41A9F"/>
    <w:rsid w:val="00A4522D"/>
    <w:rsid w:val="00A46927"/>
    <w:rsid w:val="00A46AA0"/>
    <w:rsid w:val="00A529B5"/>
    <w:rsid w:val="00A5712B"/>
    <w:rsid w:val="00A67656"/>
    <w:rsid w:val="00A84831"/>
    <w:rsid w:val="00A960BD"/>
    <w:rsid w:val="00A978BD"/>
    <w:rsid w:val="00AA360D"/>
    <w:rsid w:val="00AA5DA4"/>
    <w:rsid w:val="00AA79B7"/>
    <w:rsid w:val="00AB5F00"/>
    <w:rsid w:val="00AB7767"/>
    <w:rsid w:val="00AC782C"/>
    <w:rsid w:val="00AD0E05"/>
    <w:rsid w:val="00AD4E31"/>
    <w:rsid w:val="00AE4156"/>
    <w:rsid w:val="00AE4A81"/>
    <w:rsid w:val="00AE76F8"/>
    <w:rsid w:val="00AF0B5C"/>
    <w:rsid w:val="00B0324F"/>
    <w:rsid w:val="00B04973"/>
    <w:rsid w:val="00B12150"/>
    <w:rsid w:val="00B13489"/>
    <w:rsid w:val="00B21DDF"/>
    <w:rsid w:val="00B22735"/>
    <w:rsid w:val="00B32367"/>
    <w:rsid w:val="00B34B14"/>
    <w:rsid w:val="00B35F53"/>
    <w:rsid w:val="00B425A9"/>
    <w:rsid w:val="00B50A69"/>
    <w:rsid w:val="00B50ED9"/>
    <w:rsid w:val="00B6677A"/>
    <w:rsid w:val="00B73800"/>
    <w:rsid w:val="00B75502"/>
    <w:rsid w:val="00B76A91"/>
    <w:rsid w:val="00B86A42"/>
    <w:rsid w:val="00B94ADA"/>
    <w:rsid w:val="00B96F99"/>
    <w:rsid w:val="00B9721E"/>
    <w:rsid w:val="00B978F0"/>
    <w:rsid w:val="00BA10D7"/>
    <w:rsid w:val="00BC15C0"/>
    <w:rsid w:val="00BC1D24"/>
    <w:rsid w:val="00BC40FC"/>
    <w:rsid w:val="00BC5027"/>
    <w:rsid w:val="00BC6C77"/>
    <w:rsid w:val="00BD082F"/>
    <w:rsid w:val="00BD0918"/>
    <w:rsid w:val="00BE3B9F"/>
    <w:rsid w:val="00BF244E"/>
    <w:rsid w:val="00BF3641"/>
    <w:rsid w:val="00BF4538"/>
    <w:rsid w:val="00BF518A"/>
    <w:rsid w:val="00BF70AD"/>
    <w:rsid w:val="00C016BA"/>
    <w:rsid w:val="00C018D2"/>
    <w:rsid w:val="00C03EED"/>
    <w:rsid w:val="00C06903"/>
    <w:rsid w:val="00C07297"/>
    <w:rsid w:val="00C12C24"/>
    <w:rsid w:val="00C14545"/>
    <w:rsid w:val="00C2254F"/>
    <w:rsid w:val="00C23079"/>
    <w:rsid w:val="00C247FB"/>
    <w:rsid w:val="00C24A02"/>
    <w:rsid w:val="00C25F01"/>
    <w:rsid w:val="00C3494F"/>
    <w:rsid w:val="00C36293"/>
    <w:rsid w:val="00C3671E"/>
    <w:rsid w:val="00C4726A"/>
    <w:rsid w:val="00C5099B"/>
    <w:rsid w:val="00C5377A"/>
    <w:rsid w:val="00C54C84"/>
    <w:rsid w:val="00C61F90"/>
    <w:rsid w:val="00C638D4"/>
    <w:rsid w:val="00C63FD4"/>
    <w:rsid w:val="00C64BC4"/>
    <w:rsid w:val="00C7120E"/>
    <w:rsid w:val="00C72081"/>
    <w:rsid w:val="00C7208B"/>
    <w:rsid w:val="00C77CB0"/>
    <w:rsid w:val="00C82D4A"/>
    <w:rsid w:val="00C8657A"/>
    <w:rsid w:val="00C90CB4"/>
    <w:rsid w:val="00C91901"/>
    <w:rsid w:val="00C956A7"/>
    <w:rsid w:val="00CA271B"/>
    <w:rsid w:val="00CA48BB"/>
    <w:rsid w:val="00CB7D32"/>
    <w:rsid w:val="00CC2513"/>
    <w:rsid w:val="00CC28A5"/>
    <w:rsid w:val="00CC4F8D"/>
    <w:rsid w:val="00CC67B2"/>
    <w:rsid w:val="00CD0EC2"/>
    <w:rsid w:val="00CD5A43"/>
    <w:rsid w:val="00CE124D"/>
    <w:rsid w:val="00CE5033"/>
    <w:rsid w:val="00CF3739"/>
    <w:rsid w:val="00CF54B6"/>
    <w:rsid w:val="00CF5A47"/>
    <w:rsid w:val="00D054C8"/>
    <w:rsid w:val="00D06060"/>
    <w:rsid w:val="00D23362"/>
    <w:rsid w:val="00D23D29"/>
    <w:rsid w:val="00D25D48"/>
    <w:rsid w:val="00D27A85"/>
    <w:rsid w:val="00D31D74"/>
    <w:rsid w:val="00D32350"/>
    <w:rsid w:val="00D33D92"/>
    <w:rsid w:val="00D41214"/>
    <w:rsid w:val="00D42C62"/>
    <w:rsid w:val="00D4381D"/>
    <w:rsid w:val="00D47018"/>
    <w:rsid w:val="00D47145"/>
    <w:rsid w:val="00D512F0"/>
    <w:rsid w:val="00D57185"/>
    <w:rsid w:val="00D5722B"/>
    <w:rsid w:val="00D72201"/>
    <w:rsid w:val="00D739DC"/>
    <w:rsid w:val="00D73F2A"/>
    <w:rsid w:val="00D8365B"/>
    <w:rsid w:val="00D83669"/>
    <w:rsid w:val="00D866CE"/>
    <w:rsid w:val="00D87246"/>
    <w:rsid w:val="00D91CE8"/>
    <w:rsid w:val="00D961A0"/>
    <w:rsid w:val="00DA0D5E"/>
    <w:rsid w:val="00DA3E5A"/>
    <w:rsid w:val="00DB3656"/>
    <w:rsid w:val="00DB4D80"/>
    <w:rsid w:val="00DB631E"/>
    <w:rsid w:val="00DB7318"/>
    <w:rsid w:val="00DB757E"/>
    <w:rsid w:val="00DC359E"/>
    <w:rsid w:val="00DC5D3F"/>
    <w:rsid w:val="00DD21B1"/>
    <w:rsid w:val="00DD355B"/>
    <w:rsid w:val="00DD3EBA"/>
    <w:rsid w:val="00DD4228"/>
    <w:rsid w:val="00DD77A3"/>
    <w:rsid w:val="00DE06F7"/>
    <w:rsid w:val="00DE0795"/>
    <w:rsid w:val="00DE09B2"/>
    <w:rsid w:val="00DE1981"/>
    <w:rsid w:val="00DF0E32"/>
    <w:rsid w:val="00DF0EE1"/>
    <w:rsid w:val="00DF132E"/>
    <w:rsid w:val="00DF581B"/>
    <w:rsid w:val="00DF5B72"/>
    <w:rsid w:val="00E237E2"/>
    <w:rsid w:val="00E257A4"/>
    <w:rsid w:val="00E26436"/>
    <w:rsid w:val="00E3250E"/>
    <w:rsid w:val="00E33B6A"/>
    <w:rsid w:val="00E34AB2"/>
    <w:rsid w:val="00E40FDC"/>
    <w:rsid w:val="00E44A1F"/>
    <w:rsid w:val="00E552EC"/>
    <w:rsid w:val="00E56015"/>
    <w:rsid w:val="00E60029"/>
    <w:rsid w:val="00E64237"/>
    <w:rsid w:val="00E71B9A"/>
    <w:rsid w:val="00E85E72"/>
    <w:rsid w:val="00E86783"/>
    <w:rsid w:val="00E9060B"/>
    <w:rsid w:val="00E9219A"/>
    <w:rsid w:val="00E94BF1"/>
    <w:rsid w:val="00E96F9A"/>
    <w:rsid w:val="00E97C8E"/>
    <w:rsid w:val="00EA5009"/>
    <w:rsid w:val="00EA6FC9"/>
    <w:rsid w:val="00EB0098"/>
    <w:rsid w:val="00EB16BC"/>
    <w:rsid w:val="00EB4C67"/>
    <w:rsid w:val="00EB5DEB"/>
    <w:rsid w:val="00EB6405"/>
    <w:rsid w:val="00EB686E"/>
    <w:rsid w:val="00EC440C"/>
    <w:rsid w:val="00EC5C21"/>
    <w:rsid w:val="00EE7C38"/>
    <w:rsid w:val="00EF10A8"/>
    <w:rsid w:val="00F03D79"/>
    <w:rsid w:val="00F044C0"/>
    <w:rsid w:val="00F07300"/>
    <w:rsid w:val="00F10788"/>
    <w:rsid w:val="00F11077"/>
    <w:rsid w:val="00F13775"/>
    <w:rsid w:val="00F27A60"/>
    <w:rsid w:val="00F350C9"/>
    <w:rsid w:val="00F36B58"/>
    <w:rsid w:val="00F42E21"/>
    <w:rsid w:val="00F446B2"/>
    <w:rsid w:val="00F45F77"/>
    <w:rsid w:val="00F47CB4"/>
    <w:rsid w:val="00F51E58"/>
    <w:rsid w:val="00F67447"/>
    <w:rsid w:val="00F67A4A"/>
    <w:rsid w:val="00F706BE"/>
    <w:rsid w:val="00F81875"/>
    <w:rsid w:val="00F821CA"/>
    <w:rsid w:val="00F8353D"/>
    <w:rsid w:val="00F876A1"/>
    <w:rsid w:val="00F910E8"/>
    <w:rsid w:val="00F9411B"/>
    <w:rsid w:val="00F94D03"/>
    <w:rsid w:val="00F97CA0"/>
    <w:rsid w:val="00FA6C46"/>
    <w:rsid w:val="00FA7265"/>
    <w:rsid w:val="00FA7794"/>
    <w:rsid w:val="00FB05D5"/>
    <w:rsid w:val="00FB376E"/>
    <w:rsid w:val="00FB3B1F"/>
    <w:rsid w:val="00FB63F6"/>
    <w:rsid w:val="00FB6AD1"/>
    <w:rsid w:val="00FC2680"/>
    <w:rsid w:val="00FD0080"/>
    <w:rsid w:val="00FD01B1"/>
    <w:rsid w:val="00FE0E05"/>
    <w:rsid w:val="00FE362F"/>
    <w:rsid w:val="00FE3C23"/>
    <w:rsid w:val="00FE6E47"/>
    <w:rsid w:val="00FF755E"/>
    <w:rsid w:val="1B08D877"/>
    <w:rsid w:val="2E1702E9"/>
    <w:rsid w:val="65A8DA07"/>
    <w:rsid w:val="67D6202A"/>
    <w:rsid w:val="7345D7B0"/>
    <w:rsid w:val="7894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86EE0-22B2-43D7-852B-A2F27C8E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21BDA"/>
    <w:pPr>
      <w:keepNext/>
      <w:keepLines/>
      <w:numPr>
        <w:numId w:val="7"/>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5D5"/>
    <w:pPr>
      <w:keepNext/>
      <w:keepLines/>
      <w:numPr>
        <w:ilvl w:val="1"/>
        <w:numId w:val="7"/>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94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B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05D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94D03"/>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E25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7A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257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57A4"/>
    <w:rPr>
      <w:i/>
      <w:iCs/>
      <w:color w:val="5B9BD5" w:themeColor="accent1"/>
    </w:rPr>
  </w:style>
  <w:style w:type="paragraph" w:styleId="Subtitle">
    <w:name w:val="Subtitle"/>
    <w:basedOn w:val="Normal"/>
    <w:next w:val="Normal"/>
    <w:link w:val="SubtitleChar"/>
    <w:uiPriority w:val="11"/>
    <w:qFormat/>
    <w:rsid w:val="00E257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57A4"/>
    <w:rPr>
      <w:rFonts w:eastAsiaTheme="minorEastAsia"/>
      <w:color w:val="5A5A5A" w:themeColor="text1" w:themeTint="A5"/>
      <w:spacing w:val="15"/>
    </w:rPr>
  </w:style>
  <w:style w:type="paragraph" w:styleId="ListParagraph">
    <w:name w:val="List Paragraph"/>
    <w:aliases w:val="Num_para"/>
    <w:basedOn w:val="Normal"/>
    <w:uiPriority w:val="34"/>
    <w:qFormat/>
    <w:rsid w:val="00BE3B9F"/>
    <w:pPr>
      <w:ind w:left="720"/>
      <w:contextualSpacing/>
    </w:pPr>
  </w:style>
  <w:style w:type="paragraph" w:styleId="NormalWeb">
    <w:name w:val="Normal (Web)"/>
    <w:basedOn w:val="Normal"/>
    <w:uiPriority w:val="99"/>
    <w:semiHidden/>
    <w:unhideWhenUsed/>
    <w:rsid w:val="00BE3B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E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50E"/>
    <w:rPr>
      <w:sz w:val="16"/>
      <w:szCs w:val="16"/>
    </w:rPr>
  </w:style>
  <w:style w:type="paragraph" w:styleId="CommentText">
    <w:name w:val="annotation text"/>
    <w:basedOn w:val="Normal"/>
    <w:link w:val="CommentTextChar"/>
    <w:uiPriority w:val="99"/>
    <w:semiHidden/>
    <w:unhideWhenUsed/>
    <w:rsid w:val="00E3250E"/>
    <w:pPr>
      <w:spacing w:line="240" w:lineRule="auto"/>
    </w:pPr>
    <w:rPr>
      <w:sz w:val="20"/>
      <w:szCs w:val="20"/>
    </w:rPr>
  </w:style>
  <w:style w:type="character" w:customStyle="1" w:styleId="CommentTextChar">
    <w:name w:val="Comment Text Char"/>
    <w:basedOn w:val="DefaultParagraphFont"/>
    <w:link w:val="CommentText"/>
    <w:uiPriority w:val="99"/>
    <w:semiHidden/>
    <w:rsid w:val="00E3250E"/>
    <w:rPr>
      <w:sz w:val="20"/>
      <w:szCs w:val="20"/>
    </w:rPr>
  </w:style>
  <w:style w:type="paragraph" w:styleId="CommentSubject">
    <w:name w:val="annotation subject"/>
    <w:basedOn w:val="CommentText"/>
    <w:next w:val="CommentText"/>
    <w:link w:val="CommentSubjectChar"/>
    <w:uiPriority w:val="99"/>
    <w:semiHidden/>
    <w:unhideWhenUsed/>
    <w:rsid w:val="00E3250E"/>
    <w:rPr>
      <w:b/>
      <w:bCs/>
    </w:rPr>
  </w:style>
  <w:style w:type="character" w:customStyle="1" w:styleId="CommentSubjectChar">
    <w:name w:val="Comment Subject Char"/>
    <w:basedOn w:val="CommentTextChar"/>
    <w:link w:val="CommentSubject"/>
    <w:uiPriority w:val="99"/>
    <w:semiHidden/>
    <w:rsid w:val="00E3250E"/>
    <w:rPr>
      <w:b/>
      <w:bCs/>
      <w:sz w:val="20"/>
      <w:szCs w:val="20"/>
    </w:rPr>
  </w:style>
  <w:style w:type="paragraph" w:styleId="BalloonText">
    <w:name w:val="Balloon Text"/>
    <w:basedOn w:val="Normal"/>
    <w:link w:val="BalloonTextChar"/>
    <w:uiPriority w:val="99"/>
    <w:semiHidden/>
    <w:unhideWhenUsed/>
    <w:rsid w:val="00E3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0E"/>
    <w:rPr>
      <w:rFonts w:ascii="Segoe UI" w:hAnsi="Segoe UI" w:cs="Segoe UI"/>
      <w:sz w:val="18"/>
      <w:szCs w:val="18"/>
    </w:rPr>
  </w:style>
  <w:style w:type="paragraph" w:styleId="Caption">
    <w:name w:val="caption"/>
    <w:basedOn w:val="Normal"/>
    <w:next w:val="Normal"/>
    <w:uiPriority w:val="35"/>
    <w:unhideWhenUsed/>
    <w:qFormat/>
    <w:rsid w:val="00DC5D3F"/>
    <w:pPr>
      <w:spacing w:after="200" w:line="240" w:lineRule="auto"/>
    </w:pPr>
    <w:rPr>
      <w:b/>
      <w:i/>
      <w:iCs/>
      <w:color w:val="44546A" w:themeColor="text2"/>
      <w:szCs w:val="18"/>
    </w:rPr>
  </w:style>
  <w:style w:type="paragraph" w:styleId="Header">
    <w:name w:val="header"/>
    <w:basedOn w:val="Normal"/>
    <w:link w:val="HeaderChar"/>
    <w:uiPriority w:val="99"/>
    <w:unhideWhenUsed/>
    <w:rsid w:val="0089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68"/>
  </w:style>
  <w:style w:type="paragraph" w:styleId="Footer">
    <w:name w:val="footer"/>
    <w:basedOn w:val="Normal"/>
    <w:link w:val="FooterChar"/>
    <w:uiPriority w:val="99"/>
    <w:unhideWhenUsed/>
    <w:rsid w:val="0089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68"/>
  </w:style>
  <w:style w:type="paragraph" w:styleId="TOCHeading">
    <w:name w:val="TOC Heading"/>
    <w:basedOn w:val="Heading1"/>
    <w:next w:val="Normal"/>
    <w:uiPriority w:val="39"/>
    <w:unhideWhenUsed/>
    <w:qFormat/>
    <w:rsid w:val="00C3671E"/>
    <w:pPr>
      <w:outlineLvl w:val="9"/>
    </w:pPr>
    <w:rPr>
      <w:lang w:val="en-US"/>
    </w:rPr>
  </w:style>
  <w:style w:type="paragraph" w:styleId="TOC1">
    <w:name w:val="toc 1"/>
    <w:basedOn w:val="Normal"/>
    <w:next w:val="Normal"/>
    <w:autoRedefine/>
    <w:uiPriority w:val="39"/>
    <w:unhideWhenUsed/>
    <w:rsid w:val="00C3671E"/>
    <w:pPr>
      <w:spacing w:after="100"/>
    </w:pPr>
  </w:style>
  <w:style w:type="character" w:styleId="Hyperlink">
    <w:name w:val="Hyperlink"/>
    <w:basedOn w:val="DefaultParagraphFont"/>
    <w:uiPriority w:val="99"/>
    <w:unhideWhenUsed/>
    <w:rsid w:val="00C3671E"/>
    <w:rPr>
      <w:color w:val="0563C1" w:themeColor="hyperlink"/>
      <w:u w:val="single"/>
    </w:rPr>
  </w:style>
  <w:style w:type="paragraph" w:styleId="TableofFigures">
    <w:name w:val="table of figures"/>
    <w:basedOn w:val="Normal"/>
    <w:next w:val="Normal"/>
    <w:uiPriority w:val="99"/>
    <w:unhideWhenUsed/>
    <w:rsid w:val="00DC5D3F"/>
    <w:pPr>
      <w:spacing w:after="0"/>
    </w:p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Fußn"/>
    <w:basedOn w:val="Normal"/>
    <w:link w:val="FootnoteTextChar"/>
    <w:uiPriority w:val="99"/>
    <w:unhideWhenUsed/>
    <w:rsid w:val="00D41214"/>
    <w:pPr>
      <w:spacing w:after="0" w:line="240" w:lineRule="auto"/>
    </w:pPr>
    <w:rPr>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sid w:val="00D41214"/>
    <w:rPr>
      <w:sz w:val="20"/>
      <w:szCs w:val="20"/>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ftref,R"/>
    <w:basedOn w:val="DefaultParagraphFont"/>
    <w:uiPriority w:val="99"/>
    <w:unhideWhenUsed/>
    <w:rsid w:val="00D41214"/>
    <w:rPr>
      <w:vertAlign w:val="superscript"/>
    </w:rPr>
  </w:style>
  <w:style w:type="paragraph" w:styleId="Revision">
    <w:name w:val="Revision"/>
    <w:hidden/>
    <w:uiPriority w:val="99"/>
    <w:semiHidden/>
    <w:rsid w:val="00A41247"/>
    <w:pPr>
      <w:spacing w:after="0" w:line="240" w:lineRule="auto"/>
    </w:pPr>
  </w:style>
  <w:style w:type="paragraph" w:customStyle="1" w:styleId="StandardNum">
    <w:name w:val="Standard Num"/>
    <w:basedOn w:val="Normal"/>
    <w:link w:val="StandardNumChar"/>
    <w:qFormat/>
    <w:rsid w:val="0056200B"/>
    <w:pPr>
      <w:numPr>
        <w:numId w:val="3"/>
      </w:numPr>
      <w:spacing w:before="120" w:after="100" w:line="264" w:lineRule="auto"/>
      <w:jc w:val="both"/>
    </w:pPr>
    <w:rPr>
      <w:rFonts w:ascii="Calibri" w:eastAsia="Times New Roman" w:hAnsi="Calibri" w:cs="Times New Roman"/>
      <w:bCs/>
      <w:lang w:eastAsia="en-GB"/>
    </w:rPr>
  </w:style>
  <w:style w:type="character" w:customStyle="1" w:styleId="StandardNumChar">
    <w:name w:val="Standard Num Char"/>
    <w:link w:val="StandardNum"/>
    <w:rsid w:val="0056200B"/>
    <w:rPr>
      <w:rFonts w:ascii="Calibri" w:eastAsia="Times New Roman" w:hAnsi="Calibri" w:cs="Times New Roman"/>
      <w:bCs/>
      <w:lang w:eastAsia="en-GB"/>
    </w:rPr>
  </w:style>
  <w:style w:type="paragraph" w:styleId="TOC2">
    <w:name w:val="toc 2"/>
    <w:basedOn w:val="Normal"/>
    <w:next w:val="Normal"/>
    <w:autoRedefine/>
    <w:uiPriority w:val="39"/>
    <w:unhideWhenUsed/>
    <w:rsid w:val="00F94D03"/>
    <w:pPr>
      <w:spacing w:after="100"/>
      <w:ind w:left="220"/>
    </w:pPr>
  </w:style>
  <w:style w:type="paragraph" w:styleId="TOC3">
    <w:name w:val="toc 3"/>
    <w:basedOn w:val="Normal"/>
    <w:next w:val="Normal"/>
    <w:autoRedefine/>
    <w:uiPriority w:val="39"/>
    <w:unhideWhenUsed/>
    <w:rsid w:val="00F94D03"/>
    <w:pPr>
      <w:spacing w:after="100"/>
      <w:ind w:left="440"/>
    </w:pPr>
  </w:style>
  <w:style w:type="paragraph" w:styleId="NoSpacing">
    <w:name w:val="No Spacing"/>
    <w:basedOn w:val="Normal"/>
    <w:uiPriority w:val="1"/>
    <w:qFormat/>
    <w:rsid w:val="008F2045"/>
    <w:pPr>
      <w:spacing w:after="0" w:line="240" w:lineRule="auto"/>
      <w:jc w:val="both"/>
    </w:pPr>
    <w:rPr>
      <w:rFonts w:ascii="Calibri" w:eastAsia="Calibri" w:hAnsi="Calibri" w:cs="Times New Roman"/>
    </w:rPr>
  </w:style>
  <w:style w:type="paragraph" w:customStyle="1" w:styleId="Default">
    <w:name w:val="Default"/>
    <w:rsid w:val="008F2045"/>
    <w:pPr>
      <w:autoSpaceDE w:val="0"/>
      <w:autoSpaceDN w:val="0"/>
      <w:adjustRightInd w:val="0"/>
      <w:spacing w:after="200" w:line="276" w:lineRule="auto"/>
    </w:pPr>
    <w:rPr>
      <w:rFonts w:ascii="Arial" w:eastAsia="Calibri" w:hAnsi="Arial" w:cs="Arial"/>
      <w:color w:val="000000"/>
      <w:sz w:val="24"/>
      <w:szCs w:val="24"/>
      <w:lang w:eastAsia="en-GB"/>
    </w:rPr>
  </w:style>
  <w:style w:type="paragraph" w:customStyle="1" w:styleId="Heading3Aether">
    <w:name w:val="Heading3_Aether"/>
    <w:basedOn w:val="Heading3"/>
    <w:next w:val="Normal"/>
    <w:link w:val="Heading3AetherChar"/>
    <w:autoRedefine/>
    <w:qFormat/>
    <w:rsid w:val="00476E71"/>
    <w:pPr>
      <w:spacing w:before="0" w:after="120" w:line="276" w:lineRule="auto"/>
      <w:jc w:val="both"/>
    </w:pPr>
    <w:rPr>
      <w:rFonts w:ascii="Calibri" w:eastAsia="Times New Roman" w:hAnsi="Calibri" w:cs="Times New Roman"/>
      <w:color w:val="0070C0"/>
      <w:lang w:val="x-none" w:eastAsia="x-none"/>
    </w:rPr>
  </w:style>
  <w:style w:type="character" w:customStyle="1" w:styleId="Heading3AetherChar">
    <w:name w:val="Heading3_Aether Char"/>
    <w:link w:val="Heading3Aether"/>
    <w:rsid w:val="00476E71"/>
    <w:rPr>
      <w:rFonts w:ascii="Calibri" w:eastAsia="Times New Roman" w:hAnsi="Calibri" w:cs="Times New Roman"/>
      <w:b/>
      <w:bCs/>
      <w:color w:val="0070C0"/>
      <w:lang w:val="x-none" w:eastAsia="x-none"/>
    </w:rPr>
  </w:style>
  <w:style w:type="paragraph" w:customStyle="1" w:styleId="Heading2Aether">
    <w:name w:val="Heading2_Aether"/>
    <w:basedOn w:val="Heading2"/>
    <w:next w:val="Normal"/>
    <w:link w:val="Heading2AetherChar"/>
    <w:autoRedefine/>
    <w:qFormat/>
    <w:rsid w:val="001C0572"/>
    <w:pPr>
      <w:numPr>
        <w:ilvl w:val="0"/>
        <w:numId w:val="0"/>
      </w:numPr>
      <w:spacing w:before="240" w:after="120" w:line="240" w:lineRule="auto"/>
      <w:ind w:left="576" w:hanging="576"/>
      <w:jc w:val="both"/>
    </w:pPr>
    <w:rPr>
      <w:rFonts w:ascii="Calibri" w:eastAsia="Times New Roman" w:hAnsi="Calibri" w:cs="Times New Roman"/>
      <w:color w:val="0070C0"/>
      <w:sz w:val="28"/>
      <w:szCs w:val="28"/>
      <w:lang w:eastAsia="x-none"/>
    </w:rPr>
  </w:style>
  <w:style w:type="character" w:customStyle="1" w:styleId="Heading2AetherChar">
    <w:name w:val="Heading2_Aether Char"/>
    <w:link w:val="Heading2Aether"/>
    <w:rsid w:val="001C0572"/>
    <w:rPr>
      <w:rFonts w:ascii="Calibri" w:eastAsia="Times New Roman" w:hAnsi="Calibri" w:cs="Times New Roman"/>
      <w:b/>
      <w:bCs/>
      <w:color w:val="0070C0"/>
      <w:sz w:val="28"/>
      <w:szCs w:val="28"/>
      <w:lang w:eastAsia="x-none"/>
    </w:rPr>
  </w:style>
  <w:style w:type="paragraph" w:customStyle="1" w:styleId="Heading1Aether">
    <w:name w:val="Heading1_Aether"/>
    <w:basedOn w:val="Heading1"/>
    <w:next w:val="Normal"/>
    <w:link w:val="Heading1AetherChar"/>
    <w:autoRedefine/>
    <w:qFormat/>
    <w:rsid w:val="00D91CE8"/>
    <w:pPr>
      <w:numPr>
        <w:numId w:val="4"/>
      </w:numPr>
      <w:spacing w:before="120" w:after="120" w:line="240" w:lineRule="auto"/>
      <w:jc w:val="both"/>
    </w:pPr>
    <w:rPr>
      <w:rFonts w:ascii="Calibri" w:eastAsia="Times New Roman" w:hAnsi="Calibri" w:cs="Times New Roman"/>
      <w:b/>
      <w:bCs/>
      <w:color w:val="0070C0"/>
      <w:sz w:val="40"/>
      <w:szCs w:val="40"/>
    </w:rPr>
  </w:style>
  <w:style w:type="character" w:customStyle="1" w:styleId="Heading1AetherChar">
    <w:name w:val="Heading1_Aether Char"/>
    <w:link w:val="Heading1Aether"/>
    <w:rsid w:val="00D91CE8"/>
    <w:rPr>
      <w:rFonts w:ascii="Calibri" w:eastAsia="Times New Roman" w:hAnsi="Calibri" w:cs="Times New Roman"/>
      <w:b/>
      <w:bCs/>
      <w:color w:val="0070C0"/>
      <w:sz w:val="40"/>
      <w:szCs w:val="40"/>
    </w:rPr>
  </w:style>
  <w:style w:type="paragraph" w:customStyle="1" w:styleId="Literatur">
    <w:name w:val="Literatur"/>
    <w:basedOn w:val="Normal"/>
    <w:rsid w:val="00492A2E"/>
    <w:pPr>
      <w:suppressAutoHyphens/>
      <w:spacing w:after="120" w:line="264" w:lineRule="auto"/>
      <w:ind w:left="567" w:hanging="567"/>
    </w:pPr>
    <w:rPr>
      <w:rFonts w:ascii="Times" w:eastAsia="Times New Roman" w:hAnsi="Times" w:cs="Times New Roman"/>
      <w:sz w:val="20"/>
      <w:lang w:eastAsia="en-GB"/>
    </w:rPr>
  </w:style>
  <w:style w:type="paragraph" w:customStyle="1" w:styleId="RegHead1">
    <w:name w:val="RegHead1"/>
    <w:basedOn w:val="Normal"/>
    <w:next w:val="RegHead2"/>
    <w:rsid w:val="00A202B1"/>
    <w:pPr>
      <w:keepNext/>
      <w:numPr>
        <w:numId w:val="5"/>
      </w:numPr>
      <w:spacing w:before="180" w:after="0" w:line="240" w:lineRule="auto"/>
      <w:jc w:val="center"/>
    </w:pPr>
    <w:rPr>
      <w:rFonts w:ascii="Times New Roman" w:eastAsia="Times New Roman" w:hAnsi="Times New Roman" w:cs="Times New Roman"/>
      <w:b/>
      <w:sz w:val="28"/>
      <w:szCs w:val="20"/>
      <w:lang w:eastAsia="de-DE"/>
    </w:rPr>
  </w:style>
  <w:style w:type="paragraph" w:customStyle="1" w:styleId="RegHead2">
    <w:name w:val="RegHead2"/>
    <w:basedOn w:val="Normal"/>
    <w:next w:val="RegHead3"/>
    <w:rsid w:val="00A202B1"/>
    <w:pPr>
      <w:keepNext/>
      <w:numPr>
        <w:ilvl w:val="1"/>
        <w:numId w:val="5"/>
      </w:numPr>
      <w:spacing w:before="180" w:after="0" w:line="240" w:lineRule="auto"/>
      <w:jc w:val="center"/>
    </w:pPr>
    <w:rPr>
      <w:rFonts w:ascii="Times New Roman" w:eastAsia="Times New Roman" w:hAnsi="Times New Roman" w:cs="Times New Roman"/>
      <w:b/>
      <w:szCs w:val="20"/>
      <w:lang w:eastAsia="de-DE"/>
    </w:rPr>
  </w:style>
  <w:style w:type="paragraph" w:customStyle="1" w:styleId="RegHead3">
    <w:name w:val="RegHead3"/>
    <w:basedOn w:val="Normal"/>
    <w:next w:val="RegPara"/>
    <w:rsid w:val="00A202B1"/>
    <w:pPr>
      <w:numPr>
        <w:ilvl w:val="2"/>
        <w:numId w:val="5"/>
      </w:numPr>
      <w:spacing w:before="180" w:after="0" w:line="240" w:lineRule="auto"/>
      <w:jc w:val="center"/>
    </w:pPr>
    <w:rPr>
      <w:rFonts w:ascii="Times New Roman" w:eastAsia="Times New Roman" w:hAnsi="Times New Roman" w:cs="Times New Roman"/>
      <w:szCs w:val="20"/>
      <w:u w:val="single"/>
      <w:lang w:eastAsia="de-DE"/>
    </w:rPr>
  </w:style>
  <w:style w:type="paragraph" w:customStyle="1" w:styleId="RegPara">
    <w:name w:val="RegPara"/>
    <w:basedOn w:val="Normal"/>
    <w:link w:val="RegParaChar"/>
    <w:qFormat/>
    <w:rsid w:val="00A202B1"/>
    <w:pPr>
      <w:numPr>
        <w:ilvl w:val="3"/>
        <w:numId w:val="5"/>
      </w:numPr>
      <w:spacing w:before="60" w:after="240" w:line="264" w:lineRule="auto"/>
    </w:pPr>
    <w:rPr>
      <w:rFonts w:ascii="Arial" w:eastAsia="Times New Roman" w:hAnsi="Arial" w:cs="Arial"/>
      <w:szCs w:val="20"/>
      <w:lang w:eastAsia="de-DE"/>
    </w:rPr>
  </w:style>
  <w:style w:type="character" w:customStyle="1" w:styleId="RegParaChar">
    <w:name w:val="RegPara Char"/>
    <w:basedOn w:val="DefaultParagraphFont"/>
    <w:link w:val="RegPara"/>
    <w:rsid w:val="00A202B1"/>
    <w:rPr>
      <w:rFonts w:ascii="Arial" w:eastAsia="Times New Roman" w:hAnsi="Arial" w:cs="Arial"/>
      <w:szCs w:val="20"/>
      <w:lang w:eastAsia="de-DE"/>
    </w:rPr>
  </w:style>
  <w:style w:type="paragraph" w:customStyle="1" w:styleId="msonormal0">
    <w:name w:val="msonormal"/>
    <w:basedOn w:val="Normal"/>
    <w:rsid w:val="00705D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705D8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n-GB"/>
    </w:rPr>
  </w:style>
  <w:style w:type="paragraph" w:customStyle="1" w:styleId="xl69">
    <w:name w:val="xl69"/>
    <w:basedOn w:val="Normal"/>
    <w:rsid w:val="00705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0">
    <w:name w:val="xl70"/>
    <w:basedOn w:val="Normal"/>
    <w:rsid w:val="00705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71">
    <w:name w:val="xl71"/>
    <w:basedOn w:val="Normal"/>
    <w:rsid w:val="00705D8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2">
    <w:name w:val="xl72"/>
    <w:basedOn w:val="Normal"/>
    <w:rsid w:val="00705D8C"/>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3">
    <w:name w:val="xl73"/>
    <w:basedOn w:val="Normal"/>
    <w:rsid w:val="00705D8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74">
    <w:name w:val="xl74"/>
    <w:basedOn w:val="Normal"/>
    <w:rsid w:val="00705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75">
    <w:name w:val="xl75"/>
    <w:basedOn w:val="Normal"/>
    <w:rsid w:val="00705D8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en-GB"/>
    </w:rPr>
  </w:style>
  <w:style w:type="paragraph" w:customStyle="1" w:styleId="xl76">
    <w:name w:val="xl76"/>
    <w:basedOn w:val="Normal"/>
    <w:rsid w:val="00705D8C"/>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eastAsia="en-GB"/>
    </w:rPr>
  </w:style>
  <w:style w:type="paragraph" w:customStyle="1" w:styleId="xl77">
    <w:name w:val="xl77"/>
    <w:basedOn w:val="Normal"/>
    <w:rsid w:val="00705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8">
    <w:name w:val="xl78"/>
    <w:basedOn w:val="Normal"/>
    <w:rsid w:val="00705D8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n-GB"/>
    </w:rPr>
  </w:style>
  <w:style w:type="paragraph" w:customStyle="1" w:styleId="xl79">
    <w:name w:val="xl79"/>
    <w:basedOn w:val="Normal"/>
    <w:rsid w:val="00705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80">
    <w:name w:val="xl80"/>
    <w:basedOn w:val="Normal"/>
    <w:rsid w:val="00705D8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81">
    <w:name w:val="xl81"/>
    <w:basedOn w:val="Normal"/>
    <w:rsid w:val="00705D8C"/>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82">
    <w:name w:val="xl82"/>
    <w:basedOn w:val="Normal"/>
    <w:rsid w:val="00705D8C"/>
    <w:pPr>
      <w:pBdr>
        <w:top w:val="single" w:sz="4" w:space="0" w:color="auto"/>
        <w:left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n-GB"/>
    </w:rPr>
  </w:style>
  <w:style w:type="paragraph" w:customStyle="1" w:styleId="xl83">
    <w:name w:val="xl83"/>
    <w:basedOn w:val="Normal"/>
    <w:rsid w:val="00705D8C"/>
    <w:pPr>
      <w:pBdr>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n-GB"/>
    </w:rPr>
  </w:style>
  <w:style w:type="paragraph" w:customStyle="1" w:styleId="xl84">
    <w:name w:val="xl84"/>
    <w:basedOn w:val="Normal"/>
    <w:rsid w:val="00705D8C"/>
    <w:pPr>
      <w:pBdr>
        <w:top w:val="single" w:sz="4" w:space="0" w:color="auto"/>
        <w:left w:val="single" w:sz="4" w:space="0" w:color="auto"/>
        <w:bottom w:val="single" w:sz="4" w:space="0" w:color="auto"/>
      </w:pBdr>
      <w:shd w:val="clear" w:color="000000" w:fill="305496"/>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n-GB"/>
    </w:rPr>
  </w:style>
  <w:style w:type="paragraph" w:customStyle="1" w:styleId="xl85">
    <w:name w:val="xl85"/>
    <w:basedOn w:val="Normal"/>
    <w:rsid w:val="00705D8C"/>
    <w:pPr>
      <w:pBdr>
        <w:top w:val="single" w:sz="4" w:space="0" w:color="auto"/>
        <w:bottom w:val="single" w:sz="4" w:space="0" w:color="auto"/>
      </w:pBdr>
      <w:shd w:val="clear" w:color="000000" w:fill="305496"/>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n-GB"/>
    </w:rPr>
  </w:style>
  <w:style w:type="paragraph" w:customStyle="1" w:styleId="xl86">
    <w:name w:val="xl86"/>
    <w:basedOn w:val="Normal"/>
    <w:rsid w:val="00705D8C"/>
    <w:pPr>
      <w:pBdr>
        <w:top w:val="single" w:sz="4" w:space="0" w:color="auto"/>
        <w:bottom w:val="single" w:sz="4" w:space="0" w:color="auto"/>
        <w:right w:val="single" w:sz="4" w:space="0" w:color="auto"/>
      </w:pBdr>
      <w:shd w:val="clear" w:color="000000" w:fill="305496"/>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n-GB"/>
    </w:rPr>
  </w:style>
  <w:style w:type="paragraph" w:customStyle="1" w:styleId="xl87">
    <w:name w:val="xl87"/>
    <w:basedOn w:val="Normal"/>
    <w:rsid w:val="00705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8">
    <w:name w:val="xl88"/>
    <w:basedOn w:val="Normal"/>
    <w:rsid w:val="00705D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9">
    <w:name w:val="xl89"/>
    <w:basedOn w:val="Normal"/>
    <w:rsid w:val="00705D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character" w:customStyle="1" w:styleId="Mention1">
    <w:name w:val="Mention1"/>
    <w:basedOn w:val="DefaultParagraphFont"/>
    <w:uiPriority w:val="99"/>
    <w:semiHidden/>
    <w:unhideWhenUsed/>
    <w:rsid w:val="00705D8C"/>
    <w:rPr>
      <w:color w:val="2B579A"/>
      <w:shd w:val="clear" w:color="auto" w:fill="E6E6E6"/>
    </w:rPr>
  </w:style>
  <w:style w:type="character" w:styleId="FollowedHyperlink">
    <w:name w:val="FollowedHyperlink"/>
    <w:basedOn w:val="DefaultParagraphFont"/>
    <w:uiPriority w:val="99"/>
    <w:semiHidden/>
    <w:unhideWhenUsed/>
    <w:rsid w:val="00A06753"/>
    <w:rPr>
      <w:color w:val="954F72" w:themeColor="followedHyperlink"/>
      <w:u w:val="single"/>
    </w:rPr>
  </w:style>
  <w:style w:type="character" w:customStyle="1" w:styleId="StandardNumZchn">
    <w:name w:val="Standard Num Zchn"/>
    <w:rsid w:val="00A46927"/>
    <w:rPr>
      <w:rFonts w:ascii="Calibri" w:eastAsia="Times New Roman" w:hAnsi="Calibri" w:cs="Times New Roman"/>
      <w:bCs/>
      <w:lang w:eastAsia="en-GB"/>
    </w:rPr>
  </w:style>
  <w:style w:type="character" w:customStyle="1" w:styleId="UnresolvedMention1">
    <w:name w:val="Unresolved Mention1"/>
    <w:basedOn w:val="DefaultParagraphFont"/>
    <w:uiPriority w:val="99"/>
    <w:semiHidden/>
    <w:unhideWhenUsed/>
    <w:rsid w:val="00015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763">
      <w:bodyDiv w:val="1"/>
      <w:marLeft w:val="0"/>
      <w:marRight w:val="0"/>
      <w:marTop w:val="0"/>
      <w:marBottom w:val="0"/>
      <w:divBdr>
        <w:top w:val="none" w:sz="0" w:space="0" w:color="auto"/>
        <w:left w:val="none" w:sz="0" w:space="0" w:color="auto"/>
        <w:bottom w:val="none" w:sz="0" w:space="0" w:color="auto"/>
        <w:right w:val="none" w:sz="0" w:space="0" w:color="auto"/>
      </w:divBdr>
    </w:div>
    <w:div w:id="71784832">
      <w:bodyDiv w:val="1"/>
      <w:marLeft w:val="0"/>
      <w:marRight w:val="0"/>
      <w:marTop w:val="0"/>
      <w:marBottom w:val="0"/>
      <w:divBdr>
        <w:top w:val="none" w:sz="0" w:space="0" w:color="auto"/>
        <w:left w:val="none" w:sz="0" w:space="0" w:color="auto"/>
        <w:bottom w:val="none" w:sz="0" w:space="0" w:color="auto"/>
        <w:right w:val="none" w:sz="0" w:space="0" w:color="auto"/>
      </w:divBdr>
    </w:div>
    <w:div w:id="134176812">
      <w:bodyDiv w:val="1"/>
      <w:marLeft w:val="0"/>
      <w:marRight w:val="0"/>
      <w:marTop w:val="0"/>
      <w:marBottom w:val="0"/>
      <w:divBdr>
        <w:top w:val="none" w:sz="0" w:space="0" w:color="auto"/>
        <w:left w:val="none" w:sz="0" w:space="0" w:color="auto"/>
        <w:bottom w:val="none" w:sz="0" w:space="0" w:color="auto"/>
        <w:right w:val="none" w:sz="0" w:space="0" w:color="auto"/>
      </w:divBdr>
    </w:div>
    <w:div w:id="144978631">
      <w:bodyDiv w:val="1"/>
      <w:marLeft w:val="0"/>
      <w:marRight w:val="0"/>
      <w:marTop w:val="0"/>
      <w:marBottom w:val="0"/>
      <w:divBdr>
        <w:top w:val="none" w:sz="0" w:space="0" w:color="auto"/>
        <w:left w:val="none" w:sz="0" w:space="0" w:color="auto"/>
        <w:bottom w:val="none" w:sz="0" w:space="0" w:color="auto"/>
        <w:right w:val="none" w:sz="0" w:space="0" w:color="auto"/>
      </w:divBdr>
    </w:div>
    <w:div w:id="147289495">
      <w:bodyDiv w:val="1"/>
      <w:marLeft w:val="0"/>
      <w:marRight w:val="0"/>
      <w:marTop w:val="0"/>
      <w:marBottom w:val="0"/>
      <w:divBdr>
        <w:top w:val="none" w:sz="0" w:space="0" w:color="auto"/>
        <w:left w:val="none" w:sz="0" w:space="0" w:color="auto"/>
        <w:bottom w:val="none" w:sz="0" w:space="0" w:color="auto"/>
        <w:right w:val="none" w:sz="0" w:space="0" w:color="auto"/>
      </w:divBdr>
    </w:div>
    <w:div w:id="150678903">
      <w:bodyDiv w:val="1"/>
      <w:marLeft w:val="0"/>
      <w:marRight w:val="0"/>
      <w:marTop w:val="0"/>
      <w:marBottom w:val="0"/>
      <w:divBdr>
        <w:top w:val="none" w:sz="0" w:space="0" w:color="auto"/>
        <w:left w:val="none" w:sz="0" w:space="0" w:color="auto"/>
        <w:bottom w:val="none" w:sz="0" w:space="0" w:color="auto"/>
        <w:right w:val="none" w:sz="0" w:space="0" w:color="auto"/>
      </w:divBdr>
    </w:div>
    <w:div w:id="159127097">
      <w:bodyDiv w:val="1"/>
      <w:marLeft w:val="0"/>
      <w:marRight w:val="0"/>
      <w:marTop w:val="0"/>
      <w:marBottom w:val="0"/>
      <w:divBdr>
        <w:top w:val="none" w:sz="0" w:space="0" w:color="auto"/>
        <w:left w:val="none" w:sz="0" w:space="0" w:color="auto"/>
        <w:bottom w:val="none" w:sz="0" w:space="0" w:color="auto"/>
        <w:right w:val="none" w:sz="0" w:space="0" w:color="auto"/>
      </w:divBdr>
    </w:div>
    <w:div w:id="179857722">
      <w:bodyDiv w:val="1"/>
      <w:marLeft w:val="0"/>
      <w:marRight w:val="0"/>
      <w:marTop w:val="0"/>
      <w:marBottom w:val="0"/>
      <w:divBdr>
        <w:top w:val="none" w:sz="0" w:space="0" w:color="auto"/>
        <w:left w:val="none" w:sz="0" w:space="0" w:color="auto"/>
        <w:bottom w:val="none" w:sz="0" w:space="0" w:color="auto"/>
        <w:right w:val="none" w:sz="0" w:space="0" w:color="auto"/>
      </w:divBdr>
    </w:div>
    <w:div w:id="196697826">
      <w:bodyDiv w:val="1"/>
      <w:marLeft w:val="0"/>
      <w:marRight w:val="0"/>
      <w:marTop w:val="0"/>
      <w:marBottom w:val="0"/>
      <w:divBdr>
        <w:top w:val="none" w:sz="0" w:space="0" w:color="auto"/>
        <w:left w:val="none" w:sz="0" w:space="0" w:color="auto"/>
        <w:bottom w:val="none" w:sz="0" w:space="0" w:color="auto"/>
        <w:right w:val="none" w:sz="0" w:space="0" w:color="auto"/>
      </w:divBdr>
    </w:div>
    <w:div w:id="236399861">
      <w:bodyDiv w:val="1"/>
      <w:marLeft w:val="0"/>
      <w:marRight w:val="0"/>
      <w:marTop w:val="0"/>
      <w:marBottom w:val="0"/>
      <w:divBdr>
        <w:top w:val="none" w:sz="0" w:space="0" w:color="auto"/>
        <w:left w:val="none" w:sz="0" w:space="0" w:color="auto"/>
        <w:bottom w:val="none" w:sz="0" w:space="0" w:color="auto"/>
        <w:right w:val="none" w:sz="0" w:space="0" w:color="auto"/>
      </w:divBdr>
    </w:div>
    <w:div w:id="249317034">
      <w:bodyDiv w:val="1"/>
      <w:marLeft w:val="0"/>
      <w:marRight w:val="0"/>
      <w:marTop w:val="0"/>
      <w:marBottom w:val="0"/>
      <w:divBdr>
        <w:top w:val="none" w:sz="0" w:space="0" w:color="auto"/>
        <w:left w:val="none" w:sz="0" w:space="0" w:color="auto"/>
        <w:bottom w:val="none" w:sz="0" w:space="0" w:color="auto"/>
        <w:right w:val="none" w:sz="0" w:space="0" w:color="auto"/>
      </w:divBdr>
    </w:div>
    <w:div w:id="285086936">
      <w:bodyDiv w:val="1"/>
      <w:marLeft w:val="0"/>
      <w:marRight w:val="0"/>
      <w:marTop w:val="0"/>
      <w:marBottom w:val="0"/>
      <w:divBdr>
        <w:top w:val="none" w:sz="0" w:space="0" w:color="auto"/>
        <w:left w:val="none" w:sz="0" w:space="0" w:color="auto"/>
        <w:bottom w:val="none" w:sz="0" w:space="0" w:color="auto"/>
        <w:right w:val="none" w:sz="0" w:space="0" w:color="auto"/>
      </w:divBdr>
    </w:div>
    <w:div w:id="310453515">
      <w:bodyDiv w:val="1"/>
      <w:marLeft w:val="0"/>
      <w:marRight w:val="0"/>
      <w:marTop w:val="0"/>
      <w:marBottom w:val="0"/>
      <w:divBdr>
        <w:top w:val="none" w:sz="0" w:space="0" w:color="auto"/>
        <w:left w:val="none" w:sz="0" w:space="0" w:color="auto"/>
        <w:bottom w:val="none" w:sz="0" w:space="0" w:color="auto"/>
        <w:right w:val="none" w:sz="0" w:space="0" w:color="auto"/>
      </w:divBdr>
    </w:div>
    <w:div w:id="366680641">
      <w:bodyDiv w:val="1"/>
      <w:marLeft w:val="0"/>
      <w:marRight w:val="0"/>
      <w:marTop w:val="0"/>
      <w:marBottom w:val="0"/>
      <w:divBdr>
        <w:top w:val="none" w:sz="0" w:space="0" w:color="auto"/>
        <w:left w:val="none" w:sz="0" w:space="0" w:color="auto"/>
        <w:bottom w:val="none" w:sz="0" w:space="0" w:color="auto"/>
        <w:right w:val="none" w:sz="0" w:space="0" w:color="auto"/>
      </w:divBdr>
    </w:div>
    <w:div w:id="445777324">
      <w:bodyDiv w:val="1"/>
      <w:marLeft w:val="0"/>
      <w:marRight w:val="0"/>
      <w:marTop w:val="0"/>
      <w:marBottom w:val="0"/>
      <w:divBdr>
        <w:top w:val="none" w:sz="0" w:space="0" w:color="auto"/>
        <w:left w:val="none" w:sz="0" w:space="0" w:color="auto"/>
        <w:bottom w:val="none" w:sz="0" w:space="0" w:color="auto"/>
        <w:right w:val="none" w:sz="0" w:space="0" w:color="auto"/>
      </w:divBdr>
    </w:div>
    <w:div w:id="461465462">
      <w:bodyDiv w:val="1"/>
      <w:marLeft w:val="0"/>
      <w:marRight w:val="0"/>
      <w:marTop w:val="0"/>
      <w:marBottom w:val="0"/>
      <w:divBdr>
        <w:top w:val="none" w:sz="0" w:space="0" w:color="auto"/>
        <w:left w:val="none" w:sz="0" w:space="0" w:color="auto"/>
        <w:bottom w:val="none" w:sz="0" w:space="0" w:color="auto"/>
        <w:right w:val="none" w:sz="0" w:space="0" w:color="auto"/>
      </w:divBdr>
    </w:div>
    <w:div w:id="533227185">
      <w:bodyDiv w:val="1"/>
      <w:marLeft w:val="0"/>
      <w:marRight w:val="0"/>
      <w:marTop w:val="0"/>
      <w:marBottom w:val="0"/>
      <w:divBdr>
        <w:top w:val="none" w:sz="0" w:space="0" w:color="auto"/>
        <w:left w:val="none" w:sz="0" w:space="0" w:color="auto"/>
        <w:bottom w:val="none" w:sz="0" w:space="0" w:color="auto"/>
        <w:right w:val="none" w:sz="0" w:space="0" w:color="auto"/>
      </w:divBdr>
    </w:div>
    <w:div w:id="549268229">
      <w:bodyDiv w:val="1"/>
      <w:marLeft w:val="0"/>
      <w:marRight w:val="0"/>
      <w:marTop w:val="0"/>
      <w:marBottom w:val="0"/>
      <w:divBdr>
        <w:top w:val="none" w:sz="0" w:space="0" w:color="auto"/>
        <w:left w:val="none" w:sz="0" w:space="0" w:color="auto"/>
        <w:bottom w:val="none" w:sz="0" w:space="0" w:color="auto"/>
        <w:right w:val="none" w:sz="0" w:space="0" w:color="auto"/>
      </w:divBdr>
    </w:div>
    <w:div w:id="575746172">
      <w:bodyDiv w:val="1"/>
      <w:marLeft w:val="0"/>
      <w:marRight w:val="0"/>
      <w:marTop w:val="0"/>
      <w:marBottom w:val="0"/>
      <w:divBdr>
        <w:top w:val="none" w:sz="0" w:space="0" w:color="auto"/>
        <w:left w:val="none" w:sz="0" w:space="0" w:color="auto"/>
        <w:bottom w:val="none" w:sz="0" w:space="0" w:color="auto"/>
        <w:right w:val="none" w:sz="0" w:space="0" w:color="auto"/>
      </w:divBdr>
    </w:div>
    <w:div w:id="630788363">
      <w:bodyDiv w:val="1"/>
      <w:marLeft w:val="0"/>
      <w:marRight w:val="0"/>
      <w:marTop w:val="0"/>
      <w:marBottom w:val="0"/>
      <w:divBdr>
        <w:top w:val="none" w:sz="0" w:space="0" w:color="auto"/>
        <w:left w:val="none" w:sz="0" w:space="0" w:color="auto"/>
        <w:bottom w:val="none" w:sz="0" w:space="0" w:color="auto"/>
        <w:right w:val="none" w:sz="0" w:space="0" w:color="auto"/>
      </w:divBdr>
    </w:div>
    <w:div w:id="655498108">
      <w:bodyDiv w:val="1"/>
      <w:marLeft w:val="0"/>
      <w:marRight w:val="0"/>
      <w:marTop w:val="0"/>
      <w:marBottom w:val="0"/>
      <w:divBdr>
        <w:top w:val="none" w:sz="0" w:space="0" w:color="auto"/>
        <w:left w:val="none" w:sz="0" w:space="0" w:color="auto"/>
        <w:bottom w:val="none" w:sz="0" w:space="0" w:color="auto"/>
        <w:right w:val="none" w:sz="0" w:space="0" w:color="auto"/>
      </w:divBdr>
    </w:div>
    <w:div w:id="668799598">
      <w:bodyDiv w:val="1"/>
      <w:marLeft w:val="0"/>
      <w:marRight w:val="0"/>
      <w:marTop w:val="0"/>
      <w:marBottom w:val="0"/>
      <w:divBdr>
        <w:top w:val="none" w:sz="0" w:space="0" w:color="auto"/>
        <w:left w:val="none" w:sz="0" w:space="0" w:color="auto"/>
        <w:bottom w:val="none" w:sz="0" w:space="0" w:color="auto"/>
        <w:right w:val="none" w:sz="0" w:space="0" w:color="auto"/>
      </w:divBdr>
    </w:div>
    <w:div w:id="703597257">
      <w:bodyDiv w:val="1"/>
      <w:marLeft w:val="0"/>
      <w:marRight w:val="0"/>
      <w:marTop w:val="0"/>
      <w:marBottom w:val="0"/>
      <w:divBdr>
        <w:top w:val="none" w:sz="0" w:space="0" w:color="auto"/>
        <w:left w:val="none" w:sz="0" w:space="0" w:color="auto"/>
        <w:bottom w:val="none" w:sz="0" w:space="0" w:color="auto"/>
        <w:right w:val="none" w:sz="0" w:space="0" w:color="auto"/>
      </w:divBdr>
    </w:div>
    <w:div w:id="736977241">
      <w:bodyDiv w:val="1"/>
      <w:marLeft w:val="0"/>
      <w:marRight w:val="0"/>
      <w:marTop w:val="0"/>
      <w:marBottom w:val="0"/>
      <w:divBdr>
        <w:top w:val="none" w:sz="0" w:space="0" w:color="auto"/>
        <w:left w:val="none" w:sz="0" w:space="0" w:color="auto"/>
        <w:bottom w:val="none" w:sz="0" w:space="0" w:color="auto"/>
        <w:right w:val="none" w:sz="0" w:space="0" w:color="auto"/>
      </w:divBdr>
    </w:div>
    <w:div w:id="804540163">
      <w:bodyDiv w:val="1"/>
      <w:marLeft w:val="0"/>
      <w:marRight w:val="0"/>
      <w:marTop w:val="0"/>
      <w:marBottom w:val="0"/>
      <w:divBdr>
        <w:top w:val="none" w:sz="0" w:space="0" w:color="auto"/>
        <w:left w:val="none" w:sz="0" w:space="0" w:color="auto"/>
        <w:bottom w:val="none" w:sz="0" w:space="0" w:color="auto"/>
        <w:right w:val="none" w:sz="0" w:space="0" w:color="auto"/>
      </w:divBdr>
    </w:div>
    <w:div w:id="824974364">
      <w:bodyDiv w:val="1"/>
      <w:marLeft w:val="0"/>
      <w:marRight w:val="0"/>
      <w:marTop w:val="0"/>
      <w:marBottom w:val="0"/>
      <w:divBdr>
        <w:top w:val="none" w:sz="0" w:space="0" w:color="auto"/>
        <w:left w:val="none" w:sz="0" w:space="0" w:color="auto"/>
        <w:bottom w:val="none" w:sz="0" w:space="0" w:color="auto"/>
        <w:right w:val="none" w:sz="0" w:space="0" w:color="auto"/>
      </w:divBdr>
    </w:div>
    <w:div w:id="835808260">
      <w:bodyDiv w:val="1"/>
      <w:marLeft w:val="0"/>
      <w:marRight w:val="0"/>
      <w:marTop w:val="0"/>
      <w:marBottom w:val="0"/>
      <w:divBdr>
        <w:top w:val="none" w:sz="0" w:space="0" w:color="auto"/>
        <w:left w:val="none" w:sz="0" w:space="0" w:color="auto"/>
        <w:bottom w:val="none" w:sz="0" w:space="0" w:color="auto"/>
        <w:right w:val="none" w:sz="0" w:space="0" w:color="auto"/>
      </w:divBdr>
    </w:div>
    <w:div w:id="842744889">
      <w:bodyDiv w:val="1"/>
      <w:marLeft w:val="0"/>
      <w:marRight w:val="0"/>
      <w:marTop w:val="0"/>
      <w:marBottom w:val="0"/>
      <w:divBdr>
        <w:top w:val="none" w:sz="0" w:space="0" w:color="auto"/>
        <w:left w:val="none" w:sz="0" w:space="0" w:color="auto"/>
        <w:bottom w:val="none" w:sz="0" w:space="0" w:color="auto"/>
        <w:right w:val="none" w:sz="0" w:space="0" w:color="auto"/>
      </w:divBdr>
    </w:div>
    <w:div w:id="880283534">
      <w:bodyDiv w:val="1"/>
      <w:marLeft w:val="0"/>
      <w:marRight w:val="0"/>
      <w:marTop w:val="0"/>
      <w:marBottom w:val="0"/>
      <w:divBdr>
        <w:top w:val="none" w:sz="0" w:space="0" w:color="auto"/>
        <w:left w:val="none" w:sz="0" w:space="0" w:color="auto"/>
        <w:bottom w:val="none" w:sz="0" w:space="0" w:color="auto"/>
        <w:right w:val="none" w:sz="0" w:space="0" w:color="auto"/>
      </w:divBdr>
    </w:div>
    <w:div w:id="895580808">
      <w:bodyDiv w:val="1"/>
      <w:marLeft w:val="0"/>
      <w:marRight w:val="0"/>
      <w:marTop w:val="0"/>
      <w:marBottom w:val="0"/>
      <w:divBdr>
        <w:top w:val="none" w:sz="0" w:space="0" w:color="auto"/>
        <w:left w:val="none" w:sz="0" w:space="0" w:color="auto"/>
        <w:bottom w:val="none" w:sz="0" w:space="0" w:color="auto"/>
        <w:right w:val="none" w:sz="0" w:space="0" w:color="auto"/>
      </w:divBdr>
    </w:div>
    <w:div w:id="950673112">
      <w:bodyDiv w:val="1"/>
      <w:marLeft w:val="0"/>
      <w:marRight w:val="0"/>
      <w:marTop w:val="0"/>
      <w:marBottom w:val="0"/>
      <w:divBdr>
        <w:top w:val="none" w:sz="0" w:space="0" w:color="auto"/>
        <w:left w:val="none" w:sz="0" w:space="0" w:color="auto"/>
        <w:bottom w:val="none" w:sz="0" w:space="0" w:color="auto"/>
        <w:right w:val="none" w:sz="0" w:space="0" w:color="auto"/>
      </w:divBdr>
    </w:div>
    <w:div w:id="974945207">
      <w:bodyDiv w:val="1"/>
      <w:marLeft w:val="0"/>
      <w:marRight w:val="0"/>
      <w:marTop w:val="0"/>
      <w:marBottom w:val="0"/>
      <w:divBdr>
        <w:top w:val="none" w:sz="0" w:space="0" w:color="auto"/>
        <w:left w:val="none" w:sz="0" w:space="0" w:color="auto"/>
        <w:bottom w:val="none" w:sz="0" w:space="0" w:color="auto"/>
        <w:right w:val="none" w:sz="0" w:space="0" w:color="auto"/>
      </w:divBdr>
    </w:div>
    <w:div w:id="1041132976">
      <w:bodyDiv w:val="1"/>
      <w:marLeft w:val="0"/>
      <w:marRight w:val="0"/>
      <w:marTop w:val="0"/>
      <w:marBottom w:val="0"/>
      <w:divBdr>
        <w:top w:val="none" w:sz="0" w:space="0" w:color="auto"/>
        <w:left w:val="none" w:sz="0" w:space="0" w:color="auto"/>
        <w:bottom w:val="none" w:sz="0" w:space="0" w:color="auto"/>
        <w:right w:val="none" w:sz="0" w:space="0" w:color="auto"/>
      </w:divBdr>
    </w:div>
    <w:div w:id="1054547456">
      <w:bodyDiv w:val="1"/>
      <w:marLeft w:val="0"/>
      <w:marRight w:val="0"/>
      <w:marTop w:val="0"/>
      <w:marBottom w:val="0"/>
      <w:divBdr>
        <w:top w:val="none" w:sz="0" w:space="0" w:color="auto"/>
        <w:left w:val="none" w:sz="0" w:space="0" w:color="auto"/>
        <w:bottom w:val="none" w:sz="0" w:space="0" w:color="auto"/>
        <w:right w:val="none" w:sz="0" w:space="0" w:color="auto"/>
      </w:divBdr>
    </w:div>
    <w:div w:id="1059790806">
      <w:bodyDiv w:val="1"/>
      <w:marLeft w:val="0"/>
      <w:marRight w:val="0"/>
      <w:marTop w:val="0"/>
      <w:marBottom w:val="0"/>
      <w:divBdr>
        <w:top w:val="none" w:sz="0" w:space="0" w:color="auto"/>
        <w:left w:val="none" w:sz="0" w:space="0" w:color="auto"/>
        <w:bottom w:val="none" w:sz="0" w:space="0" w:color="auto"/>
        <w:right w:val="none" w:sz="0" w:space="0" w:color="auto"/>
      </w:divBdr>
    </w:div>
    <w:div w:id="1070690052">
      <w:bodyDiv w:val="1"/>
      <w:marLeft w:val="0"/>
      <w:marRight w:val="0"/>
      <w:marTop w:val="0"/>
      <w:marBottom w:val="0"/>
      <w:divBdr>
        <w:top w:val="none" w:sz="0" w:space="0" w:color="auto"/>
        <w:left w:val="none" w:sz="0" w:space="0" w:color="auto"/>
        <w:bottom w:val="none" w:sz="0" w:space="0" w:color="auto"/>
        <w:right w:val="none" w:sz="0" w:space="0" w:color="auto"/>
      </w:divBdr>
    </w:div>
    <w:div w:id="1074165339">
      <w:bodyDiv w:val="1"/>
      <w:marLeft w:val="0"/>
      <w:marRight w:val="0"/>
      <w:marTop w:val="0"/>
      <w:marBottom w:val="0"/>
      <w:divBdr>
        <w:top w:val="none" w:sz="0" w:space="0" w:color="auto"/>
        <w:left w:val="none" w:sz="0" w:space="0" w:color="auto"/>
        <w:bottom w:val="none" w:sz="0" w:space="0" w:color="auto"/>
        <w:right w:val="none" w:sz="0" w:space="0" w:color="auto"/>
      </w:divBdr>
    </w:div>
    <w:div w:id="1091194951">
      <w:bodyDiv w:val="1"/>
      <w:marLeft w:val="0"/>
      <w:marRight w:val="0"/>
      <w:marTop w:val="0"/>
      <w:marBottom w:val="0"/>
      <w:divBdr>
        <w:top w:val="none" w:sz="0" w:space="0" w:color="auto"/>
        <w:left w:val="none" w:sz="0" w:space="0" w:color="auto"/>
        <w:bottom w:val="none" w:sz="0" w:space="0" w:color="auto"/>
        <w:right w:val="none" w:sz="0" w:space="0" w:color="auto"/>
      </w:divBdr>
    </w:div>
    <w:div w:id="1147475793">
      <w:bodyDiv w:val="1"/>
      <w:marLeft w:val="0"/>
      <w:marRight w:val="0"/>
      <w:marTop w:val="0"/>
      <w:marBottom w:val="0"/>
      <w:divBdr>
        <w:top w:val="none" w:sz="0" w:space="0" w:color="auto"/>
        <w:left w:val="none" w:sz="0" w:space="0" w:color="auto"/>
        <w:bottom w:val="none" w:sz="0" w:space="0" w:color="auto"/>
        <w:right w:val="none" w:sz="0" w:space="0" w:color="auto"/>
      </w:divBdr>
    </w:div>
    <w:div w:id="1156383546">
      <w:bodyDiv w:val="1"/>
      <w:marLeft w:val="0"/>
      <w:marRight w:val="0"/>
      <w:marTop w:val="0"/>
      <w:marBottom w:val="0"/>
      <w:divBdr>
        <w:top w:val="none" w:sz="0" w:space="0" w:color="auto"/>
        <w:left w:val="none" w:sz="0" w:space="0" w:color="auto"/>
        <w:bottom w:val="none" w:sz="0" w:space="0" w:color="auto"/>
        <w:right w:val="none" w:sz="0" w:space="0" w:color="auto"/>
      </w:divBdr>
    </w:div>
    <w:div w:id="1156846252">
      <w:bodyDiv w:val="1"/>
      <w:marLeft w:val="0"/>
      <w:marRight w:val="0"/>
      <w:marTop w:val="0"/>
      <w:marBottom w:val="0"/>
      <w:divBdr>
        <w:top w:val="none" w:sz="0" w:space="0" w:color="auto"/>
        <w:left w:val="none" w:sz="0" w:space="0" w:color="auto"/>
        <w:bottom w:val="none" w:sz="0" w:space="0" w:color="auto"/>
        <w:right w:val="none" w:sz="0" w:space="0" w:color="auto"/>
      </w:divBdr>
    </w:div>
    <w:div w:id="1159225662">
      <w:bodyDiv w:val="1"/>
      <w:marLeft w:val="0"/>
      <w:marRight w:val="0"/>
      <w:marTop w:val="0"/>
      <w:marBottom w:val="0"/>
      <w:divBdr>
        <w:top w:val="none" w:sz="0" w:space="0" w:color="auto"/>
        <w:left w:val="none" w:sz="0" w:space="0" w:color="auto"/>
        <w:bottom w:val="none" w:sz="0" w:space="0" w:color="auto"/>
        <w:right w:val="none" w:sz="0" w:space="0" w:color="auto"/>
      </w:divBdr>
    </w:div>
    <w:div w:id="1169827972">
      <w:bodyDiv w:val="1"/>
      <w:marLeft w:val="0"/>
      <w:marRight w:val="0"/>
      <w:marTop w:val="0"/>
      <w:marBottom w:val="0"/>
      <w:divBdr>
        <w:top w:val="none" w:sz="0" w:space="0" w:color="auto"/>
        <w:left w:val="none" w:sz="0" w:space="0" w:color="auto"/>
        <w:bottom w:val="none" w:sz="0" w:space="0" w:color="auto"/>
        <w:right w:val="none" w:sz="0" w:space="0" w:color="auto"/>
      </w:divBdr>
    </w:div>
    <w:div w:id="1193107019">
      <w:bodyDiv w:val="1"/>
      <w:marLeft w:val="0"/>
      <w:marRight w:val="0"/>
      <w:marTop w:val="0"/>
      <w:marBottom w:val="0"/>
      <w:divBdr>
        <w:top w:val="none" w:sz="0" w:space="0" w:color="auto"/>
        <w:left w:val="none" w:sz="0" w:space="0" w:color="auto"/>
        <w:bottom w:val="none" w:sz="0" w:space="0" w:color="auto"/>
        <w:right w:val="none" w:sz="0" w:space="0" w:color="auto"/>
      </w:divBdr>
    </w:div>
    <w:div w:id="1203597202">
      <w:bodyDiv w:val="1"/>
      <w:marLeft w:val="0"/>
      <w:marRight w:val="0"/>
      <w:marTop w:val="0"/>
      <w:marBottom w:val="0"/>
      <w:divBdr>
        <w:top w:val="none" w:sz="0" w:space="0" w:color="auto"/>
        <w:left w:val="none" w:sz="0" w:space="0" w:color="auto"/>
        <w:bottom w:val="none" w:sz="0" w:space="0" w:color="auto"/>
        <w:right w:val="none" w:sz="0" w:space="0" w:color="auto"/>
      </w:divBdr>
    </w:div>
    <w:div w:id="1238596352">
      <w:bodyDiv w:val="1"/>
      <w:marLeft w:val="0"/>
      <w:marRight w:val="0"/>
      <w:marTop w:val="0"/>
      <w:marBottom w:val="0"/>
      <w:divBdr>
        <w:top w:val="none" w:sz="0" w:space="0" w:color="auto"/>
        <w:left w:val="none" w:sz="0" w:space="0" w:color="auto"/>
        <w:bottom w:val="none" w:sz="0" w:space="0" w:color="auto"/>
        <w:right w:val="none" w:sz="0" w:space="0" w:color="auto"/>
      </w:divBdr>
    </w:div>
    <w:div w:id="1293172725">
      <w:bodyDiv w:val="1"/>
      <w:marLeft w:val="0"/>
      <w:marRight w:val="0"/>
      <w:marTop w:val="0"/>
      <w:marBottom w:val="0"/>
      <w:divBdr>
        <w:top w:val="none" w:sz="0" w:space="0" w:color="auto"/>
        <w:left w:val="none" w:sz="0" w:space="0" w:color="auto"/>
        <w:bottom w:val="none" w:sz="0" w:space="0" w:color="auto"/>
        <w:right w:val="none" w:sz="0" w:space="0" w:color="auto"/>
      </w:divBdr>
    </w:div>
    <w:div w:id="1316645926">
      <w:bodyDiv w:val="1"/>
      <w:marLeft w:val="0"/>
      <w:marRight w:val="0"/>
      <w:marTop w:val="0"/>
      <w:marBottom w:val="0"/>
      <w:divBdr>
        <w:top w:val="none" w:sz="0" w:space="0" w:color="auto"/>
        <w:left w:val="none" w:sz="0" w:space="0" w:color="auto"/>
        <w:bottom w:val="none" w:sz="0" w:space="0" w:color="auto"/>
        <w:right w:val="none" w:sz="0" w:space="0" w:color="auto"/>
      </w:divBdr>
    </w:div>
    <w:div w:id="1341464648">
      <w:bodyDiv w:val="1"/>
      <w:marLeft w:val="0"/>
      <w:marRight w:val="0"/>
      <w:marTop w:val="0"/>
      <w:marBottom w:val="0"/>
      <w:divBdr>
        <w:top w:val="none" w:sz="0" w:space="0" w:color="auto"/>
        <w:left w:val="none" w:sz="0" w:space="0" w:color="auto"/>
        <w:bottom w:val="none" w:sz="0" w:space="0" w:color="auto"/>
        <w:right w:val="none" w:sz="0" w:space="0" w:color="auto"/>
      </w:divBdr>
    </w:div>
    <w:div w:id="1363096602">
      <w:bodyDiv w:val="1"/>
      <w:marLeft w:val="0"/>
      <w:marRight w:val="0"/>
      <w:marTop w:val="0"/>
      <w:marBottom w:val="0"/>
      <w:divBdr>
        <w:top w:val="none" w:sz="0" w:space="0" w:color="auto"/>
        <w:left w:val="none" w:sz="0" w:space="0" w:color="auto"/>
        <w:bottom w:val="none" w:sz="0" w:space="0" w:color="auto"/>
        <w:right w:val="none" w:sz="0" w:space="0" w:color="auto"/>
      </w:divBdr>
    </w:div>
    <w:div w:id="1403403133">
      <w:bodyDiv w:val="1"/>
      <w:marLeft w:val="0"/>
      <w:marRight w:val="0"/>
      <w:marTop w:val="0"/>
      <w:marBottom w:val="0"/>
      <w:divBdr>
        <w:top w:val="none" w:sz="0" w:space="0" w:color="auto"/>
        <w:left w:val="none" w:sz="0" w:space="0" w:color="auto"/>
        <w:bottom w:val="none" w:sz="0" w:space="0" w:color="auto"/>
        <w:right w:val="none" w:sz="0" w:space="0" w:color="auto"/>
      </w:divBdr>
    </w:div>
    <w:div w:id="1550530236">
      <w:bodyDiv w:val="1"/>
      <w:marLeft w:val="0"/>
      <w:marRight w:val="0"/>
      <w:marTop w:val="0"/>
      <w:marBottom w:val="0"/>
      <w:divBdr>
        <w:top w:val="none" w:sz="0" w:space="0" w:color="auto"/>
        <w:left w:val="none" w:sz="0" w:space="0" w:color="auto"/>
        <w:bottom w:val="none" w:sz="0" w:space="0" w:color="auto"/>
        <w:right w:val="none" w:sz="0" w:space="0" w:color="auto"/>
      </w:divBdr>
    </w:div>
    <w:div w:id="1561867177">
      <w:bodyDiv w:val="1"/>
      <w:marLeft w:val="0"/>
      <w:marRight w:val="0"/>
      <w:marTop w:val="0"/>
      <w:marBottom w:val="0"/>
      <w:divBdr>
        <w:top w:val="none" w:sz="0" w:space="0" w:color="auto"/>
        <w:left w:val="none" w:sz="0" w:space="0" w:color="auto"/>
        <w:bottom w:val="none" w:sz="0" w:space="0" w:color="auto"/>
        <w:right w:val="none" w:sz="0" w:space="0" w:color="auto"/>
      </w:divBdr>
    </w:div>
    <w:div w:id="1641112189">
      <w:bodyDiv w:val="1"/>
      <w:marLeft w:val="0"/>
      <w:marRight w:val="0"/>
      <w:marTop w:val="0"/>
      <w:marBottom w:val="0"/>
      <w:divBdr>
        <w:top w:val="none" w:sz="0" w:space="0" w:color="auto"/>
        <w:left w:val="none" w:sz="0" w:space="0" w:color="auto"/>
        <w:bottom w:val="none" w:sz="0" w:space="0" w:color="auto"/>
        <w:right w:val="none" w:sz="0" w:space="0" w:color="auto"/>
      </w:divBdr>
    </w:div>
    <w:div w:id="1644769046">
      <w:bodyDiv w:val="1"/>
      <w:marLeft w:val="0"/>
      <w:marRight w:val="0"/>
      <w:marTop w:val="0"/>
      <w:marBottom w:val="0"/>
      <w:divBdr>
        <w:top w:val="none" w:sz="0" w:space="0" w:color="auto"/>
        <w:left w:val="none" w:sz="0" w:space="0" w:color="auto"/>
        <w:bottom w:val="none" w:sz="0" w:space="0" w:color="auto"/>
        <w:right w:val="none" w:sz="0" w:space="0" w:color="auto"/>
      </w:divBdr>
    </w:div>
    <w:div w:id="1678144670">
      <w:bodyDiv w:val="1"/>
      <w:marLeft w:val="0"/>
      <w:marRight w:val="0"/>
      <w:marTop w:val="0"/>
      <w:marBottom w:val="0"/>
      <w:divBdr>
        <w:top w:val="none" w:sz="0" w:space="0" w:color="auto"/>
        <w:left w:val="none" w:sz="0" w:space="0" w:color="auto"/>
        <w:bottom w:val="none" w:sz="0" w:space="0" w:color="auto"/>
        <w:right w:val="none" w:sz="0" w:space="0" w:color="auto"/>
      </w:divBdr>
    </w:div>
    <w:div w:id="1680739380">
      <w:bodyDiv w:val="1"/>
      <w:marLeft w:val="0"/>
      <w:marRight w:val="0"/>
      <w:marTop w:val="0"/>
      <w:marBottom w:val="0"/>
      <w:divBdr>
        <w:top w:val="none" w:sz="0" w:space="0" w:color="auto"/>
        <w:left w:val="none" w:sz="0" w:space="0" w:color="auto"/>
        <w:bottom w:val="none" w:sz="0" w:space="0" w:color="auto"/>
        <w:right w:val="none" w:sz="0" w:space="0" w:color="auto"/>
      </w:divBdr>
    </w:div>
    <w:div w:id="1689328048">
      <w:bodyDiv w:val="1"/>
      <w:marLeft w:val="0"/>
      <w:marRight w:val="0"/>
      <w:marTop w:val="0"/>
      <w:marBottom w:val="0"/>
      <w:divBdr>
        <w:top w:val="none" w:sz="0" w:space="0" w:color="auto"/>
        <w:left w:val="none" w:sz="0" w:space="0" w:color="auto"/>
        <w:bottom w:val="none" w:sz="0" w:space="0" w:color="auto"/>
        <w:right w:val="none" w:sz="0" w:space="0" w:color="auto"/>
      </w:divBdr>
    </w:div>
    <w:div w:id="1693679011">
      <w:bodyDiv w:val="1"/>
      <w:marLeft w:val="0"/>
      <w:marRight w:val="0"/>
      <w:marTop w:val="0"/>
      <w:marBottom w:val="0"/>
      <w:divBdr>
        <w:top w:val="none" w:sz="0" w:space="0" w:color="auto"/>
        <w:left w:val="none" w:sz="0" w:space="0" w:color="auto"/>
        <w:bottom w:val="none" w:sz="0" w:space="0" w:color="auto"/>
        <w:right w:val="none" w:sz="0" w:space="0" w:color="auto"/>
      </w:divBdr>
    </w:div>
    <w:div w:id="1699814003">
      <w:bodyDiv w:val="1"/>
      <w:marLeft w:val="0"/>
      <w:marRight w:val="0"/>
      <w:marTop w:val="0"/>
      <w:marBottom w:val="0"/>
      <w:divBdr>
        <w:top w:val="none" w:sz="0" w:space="0" w:color="auto"/>
        <w:left w:val="none" w:sz="0" w:space="0" w:color="auto"/>
        <w:bottom w:val="none" w:sz="0" w:space="0" w:color="auto"/>
        <w:right w:val="none" w:sz="0" w:space="0" w:color="auto"/>
      </w:divBdr>
    </w:div>
    <w:div w:id="1751537354">
      <w:bodyDiv w:val="1"/>
      <w:marLeft w:val="0"/>
      <w:marRight w:val="0"/>
      <w:marTop w:val="0"/>
      <w:marBottom w:val="0"/>
      <w:divBdr>
        <w:top w:val="none" w:sz="0" w:space="0" w:color="auto"/>
        <w:left w:val="none" w:sz="0" w:space="0" w:color="auto"/>
        <w:bottom w:val="none" w:sz="0" w:space="0" w:color="auto"/>
        <w:right w:val="none" w:sz="0" w:space="0" w:color="auto"/>
      </w:divBdr>
    </w:div>
    <w:div w:id="1761097545">
      <w:bodyDiv w:val="1"/>
      <w:marLeft w:val="0"/>
      <w:marRight w:val="0"/>
      <w:marTop w:val="0"/>
      <w:marBottom w:val="0"/>
      <w:divBdr>
        <w:top w:val="none" w:sz="0" w:space="0" w:color="auto"/>
        <w:left w:val="none" w:sz="0" w:space="0" w:color="auto"/>
        <w:bottom w:val="none" w:sz="0" w:space="0" w:color="auto"/>
        <w:right w:val="none" w:sz="0" w:space="0" w:color="auto"/>
      </w:divBdr>
    </w:div>
    <w:div w:id="1765880611">
      <w:bodyDiv w:val="1"/>
      <w:marLeft w:val="0"/>
      <w:marRight w:val="0"/>
      <w:marTop w:val="0"/>
      <w:marBottom w:val="0"/>
      <w:divBdr>
        <w:top w:val="none" w:sz="0" w:space="0" w:color="auto"/>
        <w:left w:val="none" w:sz="0" w:space="0" w:color="auto"/>
        <w:bottom w:val="none" w:sz="0" w:space="0" w:color="auto"/>
        <w:right w:val="none" w:sz="0" w:space="0" w:color="auto"/>
      </w:divBdr>
    </w:div>
    <w:div w:id="1821732086">
      <w:bodyDiv w:val="1"/>
      <w:marLeft w:val="0"/>
      <w:marRight w:val="0"/>
      <w:marTop w:val="0"/>
      <w:marBottom w:val="0"/>
      <w:divBdr>
        <w:top w:val="none" w:sz="0" w:space="0" w:color="auto"/>
        <w:left w:val="none" w:sz="0" w:space="0" w:color="auto"/>
        <w:bottom w:val="none" w:sz="0" w:space="0" w:color="auto"/>
        <w:right w:val="none" w:sz="0" w:space="0" w:color="auto"/>
      </w:divBdr>
    </w:div>
    <w:div w:id="1875118877">
      <w:bodyDiv w:val="1"/>
      <w:marLeft w:val="0"/>
      <w:marRight w:val="0"/>
      <w:marTop w:val="0"/>
      <w:marBottom w:val="0"/>
      <w:divBdr>
        <w:top w:val="none" w:sz="0" w:space="0" w:color="auto"/>
        <w:left w:val="none" w:sz="0" w:space="0" w:color="auto"/>
        <w:bottom w:val="none" w:sz="0" w:space="0" w:color="auto"/>
        <w:right w:val="none" w:sz="0" w:space="0" w:color="auto"/>
      </w:divBdr>
    </w:div>
    <w:div w:id="1898658908">
      <w:bodyDiv w:val="1"/>
      <w:marLeft w:val="0"/>
      <w:marRight w:val="0"/>
      <w:marTop w:val="0"/>
      <w:marBottom w:val="0"/>
      <w:divBdr>
        <w:top w:val="none" w:sz="0" w:space="0" w:color="auto"/>
        <w:left w:val="none" w:sz="0" w:space="0" w:color="auto"/>
        <w:bottom w:val="none" w:sz="0" w:space="0" w:color="auto"/>
        <w:right w:val="none" w:sz="0" w:space="0" w:color="auto"/>
      </w:divBdr>
    </w:div>
    <w:div w:id="1906255163">
      <w:bodyDiv w:val="1"/>
      <w:marLeft w:val="0"/>
      <w:marRight w:val="0"/>
      <w:marTop w:val="0"/>
      <w:marBottom w:val="0"/>
      <w:divBdr>
        <w:top w:val="none" w:sz="0" w:space="0" w:color="auto"/>
        <w:left w:val="none" w:sz="0" w:space="0" w:color="auto"/>
        <w:bottom w:val="none" w:sz="0" w:space="0" w:color="auto"/>
        <w:right w:val="none" w:sz="0" w:space="0" w:color="auto"/>
      </w:divBdr>
    </w:div>
    <w:div w:id="2013145123">
      <w:bodyDiv w:val="1"/>
      <w:marLeft w:val="0"/>
      <w:marRight w:val="0"/>
      <w:marTop w:val="0"/>
      <w:marBottom w:val="0"/>
      <w:divBdr>
        <w:top w:val="none" w:sz="0" w:space="0" w:color="auto"/>
        <w:left w:val="none" w:sz="0" w:space="0" w:color="auto"/>
        <w:bottom w:val="none" w:sz="0" w:space="0" w:color="auto"/>
        <w:right w:val="none" w:sz="0" w:space="0" w:color="auto"/>
      </w:divBdr>
    </w:div>
    <w:div w:id="2026901099">
      <w:bodyDiv w:val="1"/>
      <w:marLeft w:val="0"/>
      <w:marRight w:val="0"/>
      <w:marTop w:val="0"/>
      <w:marBottom w:val="0"/>
      <w:divBdr>
        <w:top w:val="none" w:sz="0" w:space="0" w:color="auto"/>
        <w:left w:val="none" w:sz="0" w:space="0" w:color="auto"/>
        <w:bottom w:val="none" w:sz="0" w:space="0" w:color="auto"/>
        <w:right w:val="none" w:sz="0" w:space="0" w:color="auto"/>
      </w:divBdr>
    </w:div>
    <w:div w:id="2041780627">
      <w:bodyDiv w:val="1"/>
      <w:marLeft w:val="0"/>
      <w:marRight w:val="0"/>
      <w:marTop w:val="0"/>
      <w:marBottom w:val="0"/>
      <w:divBdr>
        <w:top w:val="none" w:sz="0" w:space="0" w:color="auto"/>
        <w:left w:val="none" w:sz="0" w:space="0" w:color="auto"/>
        <w:bottom w:val="none" w:sz="0" w:space="0" w:color="auto"/>
        <w:right w:val="none" w:sz="0" w:space="0" w:color="auto"/>
      </w:divBdr>
    </w:div>
    <w:div w:id="2046952303">
      <w:bodyDiv w:val="1"/>
      <w:marLeft w:val="0"/>
      <w:marRight w:val="0"/>
      <w:marTop w:val="0"/>
      <w:marBottom w:val="0"/>
      <w:divBdr>
        <w:top w:val="none" w:sz="0" w:space="0" w:color="auto"/>
        <w:left w:val="none" w:sz="0" w:space="0" w:color="auto"/>
        <w:bottom w:val="none" w:sz="0" w:space="0" w:color="auto"/>
        <w:right w:val="none" w:sz="0" w:space="0" w:color="auto"/>
      </w:divBdr>
    </w:div>
    <w:div w:id="2060737263">
      <w:bodyDiv w:val="1"/>
      <w:marLeft w:val="0"/>
      <w:marRight w:val="0"/>
      <w:marTop w:val="0"/>
      <w:marBottom w:val="0"/>
      <w:divBdr>
        <w:top w:val="none" w:sz="0" w:space="0" w:color="auto"/>
        <w:left w:val="none" w:sz="0" w:space="0" w:color="auto"/>
        <w:bottom w:val="none" w:sz="0" w:space="0" w:color="auto"/>
        <w:right w:val="none" w:sz="0" w:space="0" w:color="auto"/>
      </w:divBdr>
    </w:div>
    <w:div w:id="21047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rt-necd.eionet.europa.eu/2017/AT-1A2-2017-0001" TargetMode="External"/><Relationship Id="rId18" Type="http://schemas.openxmlformats.org/officeDocument/2006/relationships/hyperlink" Target="http://www.eea.europa.eu/publications/emep-eea-guidebook-2013" TargetMode="External"/><Relationship Id="rId3" Type="http://schemas.openxmlformats.org/officeDocument/2006/relationships/customXml" Target="../customXml/item3.xml"/><Relationship Id="rId21" Type="http://schemas.openxmlformats.org/officeDocument/2006/relationships/hyperlink" Target="http://www.ceip.at/fileadmin/inhalte/emep/Adjustments/ECE_EB_AIR_130_AV_for_the_web.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ea.europa.eu//publications/emep-eea-guidebook-2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a.europa.eu/themes/air/national-emission-ceilings/nec-directive-reporting-status-2015" TargetMode="External"/><Relationship Id="rId20" Type="http://schemas.openxmlformats.org/officeDocument/2006/relationships/hyperlink" Target="http://www.ceip.at/ms/ceip_home1/ceip_home/reporting_instru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ip.at/fileadmin/inhalte/emep/Adjustments/ECE_EB_AIR_130_AV_for_the_web.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mrt-necd.eionet.europa.eu/2017/AT-5E-2017-0001" TargetMode="External"/><Relationship Id="rId23" Type="http://schemas.openxmlformats.org/officeDocument/2006/relationships/hyperlink" Target="http://eur-lex.europa.eu/legal-content/EN/TXT/?uri=uriserv%3AOJ.L_.2016.344.01.0001.01.ENG" TargetMode="External"/><Relationship Id="rId10" Type="http://schemas.openxmlformats.org/officeDocument/2006/relationships/endnotes" Target="endnotes.xml"/><Relationship Id="rId19" Type="http://schemas.openxmlformats.org/officeDocument/2006/relationships/hyperlink" Target="http://www.eea.europa.eu//publications/EMEPCORINAI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rt-necd.eionet.europa.eu/2017/AT-3Da1-2017-0002" TargetMode="External"/><Relationship Id="rId22" Type="http://schemas.openxmlformats.org/officeDocument/2006/relationships/hyperlink" Target="http://eur-lex.europa.eu/legal-content/EN/TXT/PDF/?uri=CELEX:02001L0081-20130701&amp;fr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ip.at/fileadmin/inhalte/emep/Adjustments/ECE_EB_AIR_130_AV_for_the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ab81e25-ff4d-40b2-a940-657f35b9c76f">AT agrees with table 2</Not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CBC91B65AE254BBB6A9B81039ACDC0" ma:contentTypeVersion="5" ma:contentTypeDescription="Create a new document." ma:contentTypeScope="" ma:versionID="02474250ea2ed2bb8c0cef63e46301e6">
  <xsd:schema xmlns:xsd="http://www.w3.org/2001/XMLSchema" xmlns:xs="http://www.w3.org/2001/XMLSchema" xmlns:p="http://schemas.microsoft.com/office/2006/metadata/properties" xmlns:ns2="d79bd523-ebb4-420c-baf4-cbfcc67c0d8c" xmlns:ns3="4ab81e25-ff4d-40b2-a940-657f35b9c76f" targetNamespace="http://schemas.microsoft.com/office/2006/metadata/properties" ma:root="true" ma:fieldsID="119fa33d8839b990fd8499c59f060419" ns2:_="" ns3:_="">
    <xsd:import namespace="d79bd523-ebb4-420c-baf4-cbfcc67c0d8c"/>
    <xsd:import namespace="4ab81e25-ff4d-40b2-a940-657f35b9c7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d523-ebb4-420c-baf4-cbfcc67c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1e25-ff4d-40b2-a940-657f35b9c7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5301-5A22-4D28-AB5C-46BF2183A452}">
  <ds:schemaRefs>
    <ds:schemaRef ds:uri="http://schemas.microsoft.com/office/2006/metadata/properties"/>
    <ds:schemaRef ds:uri="http://schemas.microsoft.com/office/infopath/2007/PartnerControls"/>
    <ds:schemaRef ds:uri="4ab81e25-ff4d-40b2-a940-657f35b9c76f"/>
  </ds:schemaRefs>
</ds:datastoreItem>
</file>

<file path=customXml/itemProps2.xml><?xml version="1.0" encoding="utf-8"?>
<ds:datastoreItem xmlns:ds="http://schemas.openxmlformats.org/officeDocument/2006/customXml" ds:itemID="{0CF5A1A6-5188-4459-A194-AD041647C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d523-ebb4-420c-baf4-cbfcc67c0d8c"/>
    <ds:schemaRef ds:uri="4ab81e25-ff4d-40b2-a940-657f35b9c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59376-F102-4550-8B94-63602983C1E8}">
  <ds:schemaRefs>
    <ds:schemaRef ds:uri="http://schemas.microsoft.com/sharepoint/v3/contenttype/forms"/>
  </ds:schemaRefs>
</ds:datastoreItem>
</file>

<file path=customXml/itemProps4.xml><?xml version="1.0" encoding="utf-8"?>
<ds:datastoreItem xmlns:ds="http://schemas.openxmlformats.org/officeDocument/2006/customXml" ds:itemID="{B495EF83-47B4-40BF-A65C-6585B73D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10611</Words>
  <Characters>60488</Characters>
  <Application>Microsoft Office Word</Application>
  <DocSecurity>0</DocSecurity>
  <Lines>504</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Environment Agency</Company>
  <LinksUpToDate>false</LinksUpToDate>
  <CharactersWithSpaces>70958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Sporer</dc:creator>
  <cp:lastModifiedBy>Emma Salisbury</cp:lastModifiedBy>
  <cp:revision>4</cp:revision>
  <cp:lastPrinted>2017-03-07T15:23:00Z</cp:lastPrinted>
  <dcterms:created xsi:type="dcterms:W3CDTF">2017-12-12T13:42:00Z</dcterms:created>
  <dcterms:modified xsi:type="dcterms:W3CDTF">2018-01-18T11:06:00Z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0x010100D5CBC91B65AE254BBB6A9B81039ACDC0</vt:lpwstr>
  </property>
</Properties>
</file>